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val="0"/>
          <w:i w:val="0"/>
          <w:caps w:val="0"/>
          <w:color w:val="333333"/>
          <w:spacing w:val="30"/>
          <w:sz w:val="24"/>
          <w:szCs w:val="24"/>
        </w:rPr>
      </w:pPr>
      <w:r>
        <w:rPr>
          <w:rStyle w:val="5"/>
          <w:rFonts w:hint="eastAsia" w:ascii="微软雅黑" w:hAnsi="微软雅黑" w:eastAsia="微软雅黑" w:cs="微软雅黑"/>
          <w:b/>
          <w:bCs w:val="0"/>
          <w:i w:val="0"/>
          <w:caps w:val="0"/>
          <w:color w:val="AB0909"/>
          <w:spacing w:val="30"/>
          <w:sz w:val="24"/>
          <w:szCs w:val="24"/>
          <w:bdr w:val="none" w:color="auto" w:sz="0" w:space="0"/>
          <w:shd w:val="clear" w:fill="FFFFFF"/>
        </w:rPr>
        <w:t>中华人民共和国主席令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val="0"/>
          <w:i w:val="0"/>
          <w:caps w:val="0"/>
          <w:color w:val="333333"/>
          <w:spacing w:val="30"/>
          <w:sz w:val="24"/>
          <w:szCs w:val="24"/>
        </w:rPr>
      </w:pPr>
      <w:r>
        <w:rPr>
          <w:rStyle w:val="5"/>
          <w:rFonts w:hint="eastAsia" w:ascii="微软雅黑" w:hAnsi="微软雅黑" w:eastAsia="微软雅黑" w:cs="微软雅黑"/>
          <w:b/>
          <w:bCs w:val="0"/>
          <w:i w:val="0"/>
          <w:caps w:val="0"/>
          <w:color w:val="AB0909"/>
          <w:spacing w:val="30"/>
          <w:sz w:val="24"/>
          <w:szCs w:val="24"/>
          <w:bdr w:val="none" w:color="auto" w:sz="0" w:space="0"/>
          <w:shd w:val="clear" w:fill="FFFFFF"/>
        </w:rPr>
        <w:t>第六十六号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Arial" w:hAnsi="Arial" w:eastAsia="Arial" w:cs="Arial"/>
          <w:b w:val="0"/>
          <w:i w:val="0"/>
          <w:caps w:val="0"/>
          <w:color w:val="333333"/>
          <w:spacing w:val="30"/>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b w:val="0"/>
          <w:i w:val="0"/>
          <w:caps w:val="0"/>
          <w:color w:val="333333"/>
          <w:spacing w:val="30"/>
          <w:sz w:val="22"/>
          <w:szCs w:val="22"/>
        </w:rPr>
      </w:pPr>
      <w:r>
        <w:rPr>
          <w:rFonts w:hint="eastAsia" w:ascii="微软雅黑" w:hAnsi="微软雅黑" w:eastAsia="微软雅黑" w:cs="微软雅黑"/>
          <w:b w:val="0"/>
          <w:i w:val="0"/>
          <w:caps w:val="0"/>
          <w:color w:val="333333"/>
          <w:spacing w:val="30"/>
          <w:sz w:val="21"/>
          <w:szCs w:val="21"/>
          <w:bdr w:val="none" w:color="auto" w:sz="0" w:space="0"/>
          <w:shd w:val="clear" w:fill="FFFFFF"/>
        </w:rPr>
        <w:t>《中华人民共和国刑法修正案（十一）》已由中华人民共和国第十三届全国人民代表大会常务委员会第二十四次会议于2020年12月26日通过，现予公布，自2021年3月1日起施行。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微软雅黑" w:hAnsi="微软雅黑" w:eastAsia="微软雅黑" w:cs="微软雅黑"/>
          <w:b w:val="0"/>
          <w:i w:val="0"/>
          <w:caps w:val="0"/>
          <w:color w:val="333333"/>
          <w:spacing w:val="30"/>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微软雅黑" w:hAnsi="微软雅黑" w:eastAsia="微软雅黑" w:cs="微软雅黑"/>
          <w:b w:val="0"/>
          <w:i w:val="0"/>
          <w:caps w:val="0"/>
          <w:color w:val="333333"/>
          <w:spacing w:val="30"/>
          <w:sz w:val="22"/>
          <w:szCs w:val="22"/>
        </w:rPr>
      </w:pPr>
      <w:r>
        <w:rPr>
          <w:rFonts w:hint="eastAsia" w:ascii="微软雅黑" w:hAnsi="微软雅黑" w:eastAsia="微软雅黑" w:cs="微软雅黑"/>
          <w:b w:val="0"/>
          <w:i w:val="0"/>
          <w:caps w:val="0"/>
          <w:color w:val="333333"/>
          <w:spacing w:val="30"/>
          <w:sz w:val="21"/>
          <w:szCs w:val="21"/>
          <w:bdr w:val="none" w:color="auto" w:sz="0" w:space="0"/>
          <w:shd w:val="clear" w:fill="FFFFFF"/>
        </w:rPr>
        <w:t>中华人民共和国主席 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微软雅黑" w:hAnsi="微软雅黑" w:eastAsia="微软雅黑" w:cs="微软雅黑"/>
          <w:b w:val="0"/>
          <w:i w:val="0"/>
          <w:caps w:val="0"/>
          <w:color w:val="333333"/>
          <w:spacing w:val="30"/>
          <w:sz w:val="22"/>
          <w:szCs w:val="22"/>
        </w:rPr>
      </w:pPr>
      <w:r>
        <w:rPr>
          <w:rFonts w:hint="eastAsia" w:ascii="微软雅黑" w:hAnsi="微软雅黑" w:eastAsia="微软雅黑" w:cs="微软雅黑"/>
          <w:b w:val="0"/>
          <w:i w:val="0"/>
          <w:caps w:val="0"/>
          <w:color w:val="333333"/>
          <w:spacing w:val="30"/>
          <w:sz w:val="21"/>
          <w:szCs w:val="21"/>
          <w:bdr w:val="none" w:color="auto" w:sz="0" w:space="0"/>
          <w:shd w:val="clear" w:fill="FFFFFF"/>
        </w:rPr>
        <w:t>2020年12月26日</w:t>
      </w:r>
    </w:p>
    <w:p>
      <w:pPr>
        <w:rPr>
          <w:rFonts w:hint="eastAsia"/>
          <w:u w:val="single"/>
          <w:lang w:val="en-US" w:eastAsia="zh-CN"/>
        </w:rPr>
      </w:pPr>
      <w:r>
        <w:rPr>
          <w:rFonts w:hint="eastAsia"/>
          <w:u w:val="single"/>
          <w:lang w:val="en-US" w:eastAsia="zh-CN"/>
        </w:rPr>
        <w:t xml:space="preserve">                                                                                    </w:t>
      </w:r>
    </w:p>
    <w:p>
      <w:pPr>
        <w:rPr>
          <w:rFonts w:hint="eastAsia" w:ascii="微软雅黑" w:hAnsi="微软雅黑" w:eastAsia="微软雅黑" w:cs="微软雅黑"/>
          <w:b/>
          <w:bCs/>
          <w:sz w:val="21"/>
          <w:szCs w:val="21"/>
          <w:u w:val="single"/>
          <w:lang w:val="en-US" w:eastAsia="zh-CN"/>
        </w:rPr>
      </w:pPr>
    </w:p>
    <w:p>
      <w:pPr>
        <w:ind w:firstLine="1891" w:firstLineChars="900"/>
        <w:rPr>
          <w:rFonts w:hint="eastAsia" w:ascii="微软雅黑" w:hAnsi="微软雅黑" w:eastAsia="微软雅黑" w:cs="微软雅黑"/>
          <w:b/>
          <w:bCs/>
          <w:sz w:val="21"/>
          <w:szCs w:val="21"/>
          <w:u w:val="none"/>
          <w:lang w:val="en-US" w:eastAsia="zh-CN"/>
        </w:rPr>
      </w:pPr>
      <w:r>
        <w:rPr>
          <w:rFonts w:hint="eastAsia" w:ascii="微软雅黑" w:hAnsi="微软雅黑" w:eastAsia="微软雅黑" w:cs="微软雅黑"/>
          <w:b/>
          <w:bCs/>
          <w:sz w:val="21"/>
          <w:szCs w:val="21"/>
          <w:u w:val="none"/>
          <w:lang w:val="en-US" w:eastAsia="zh-CN"/>
        </w:rPr>
        <w:t>中华人民共和国刑法修正案（十一）</w:t>
      </w:r>
    </w:p>
    <w:p>
      <w:pPr>
        <w:rPr>
          <w:rFonts w:hint="default" w:eastAsiaTheme="minorEastAsia"/>
          <w:u w:val="none"/>
          <w:lang w:val="en-US" w:eastAsia="zh-CN"/>
        </w:rPr>
      </w:pPr>
    </w:p>
    <w:p>
      <w:pPr>
        <w:ind w:firstLine="210" w:firstLineChars="100"/>
        <w:rPr>
          <w:rFonts w:hint="default" w:eastAsiaTheme="minorEastAsia"/>
          <w:u w:val="none"/>
          <w:lang w:val="en-US" w:eastAsia="zh-CN"/>
        </w:rPr>
      </w:pPr>
      <w:r>
        <w:rPr>
          <w:rFonts w:hint="default" w:eastAsiaTheme="minorEastAsia"/>
          <w:u w:val="none"/>
          <w:lang w:val="en-US" w:eastAsia="zh-CN"/>
        </w:rPr>
        <w:t>（2020年12月26日第十三届全国人民代表大会常务委员会第二十四次会议通过）</w:t>
      </w:r>
    </w:p>
    <w:p>
      <w:pPr>
        <w:ind w:firstLine="210" w:firstLineChars="100"/>
        <w:rPr>
          <w:rFonts w:hint="default" w:eastAsiaTheme="minorEastAsia"/>
          <w:u w:val="none"/>
          <w:lang w:val="en-US" w:eastAsia="zh-CN"/>
        </w:rPr>
      </w:pPr>
    </w:p>
    <w:p>
      <w:pPr>
        <w:ind w:firstLine="210" w:firstLineChars="100"/>
        <w:rPr>
          <w:rFonts w:hint="eastAsia"/>
          <w:u w:val="dash"/>
          <w:lang w:val="en-US" w:eastAsia="zh-CN"/>
        </w:rPr>
      </w:pPr>
      <w:r>
        <w:rPr>
          <w:rFonts w:hint="eastAsia"/>
          <w:u w:val="dash"/>
          <w:lang w:val="en-US" w:eastAsia="zh-CN"/>
        </w:rPr>
        <w:t xml:space="preserve">                                                                              </w:t>
      </w:r>
    </w:p>
    <w:p>
      <w:pPr>
        <w:ind w:firstLine="210" w:firstLineChars="100"/>
        <w:rPr>
          <w:rFonts w:hint="eastAsia"/>
          <w:u w:val="dash"/>
          <w:lang w:val="en-US" w:eastAsia="zh-CN"/>
        </w:rPr>
      </w:pPr>
    </w:p>
    <w:p>
      <w:pPr>
        <w:ind w:firstLine="210" w:firstLineChars="100"/>
        <w:rPr>
          <w:rFonts w:hint="default"/>
          <w:u w:val="dash"/>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一、将刑法第十七条修改为：“已满十六周岁的人犯罪，应当负刑事责任。</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“已满十四周岁不满十六周岁的人，犯故意杀人、故意伤害致人重伤或者死亡、强奸、抢劫、贩卖毒品、放火、爆炸、投放危险物质罪的，应当负刑事责任。</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“已满十二周岁不满十四周岁的人，犯故意杀人、故意伤害罪，致人死亡或者以特别残忍手段致人重伤造成严重残疾，情节恶劣，经最高人民检察院核准追诉的，应当负刑事责任。</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“对依照前三款规定追究刑事责任的不满十八周岁的人，应当从轻或者减轻处罚。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“因不满十六周岁不予刑事处罚的，责令其父母或者其他监护人加以管教；在必要的时候，依法进行专门矫治教育。”</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在刑法第一百三十三条之一后增加一条，作为第一百三十三条之二：“对行驶中的公共交通工具的驾驶人员使用暴力或者抢控驾驶操纵装置，干扰公共交通工具正常行驶，危及公共安全的，处一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“前款规定的驾驶人员在行驶的公共交通工具上擅离职守，与他人互殴或者殴打他人，危及公共安全的，依照前款的规定处罚。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“有前两款行为，同时构成其他犯罪的，依照处罚较重的规定定罪处罚。”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将刑法第一百三十四条第二款修改为：“强令他人违章冒险作业，或者明知存在重大事故隐患而不排除，仍冒险组织作业，因而发生重大伤亡事故或者造成其他严重后果的，处五年以下有期徒刑或者拘役；情节特别恶劣的，处五年以上有期徒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在刑法第一百三十四条后增加一条，作为第一百三十四条之一：“在生产、作业中违反有关安全管理的规定，有下列情形之一，具有发生重大伤亡事故或者其他严重后果的现实危险的，处一年以下有期徒刑、拘役或者管制：</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“（一）关闭、破坏直接关系生产安全的监控、报警、防护、救生设备、设施，或者篡改、隐瞒、销毁其相关数据、信息的；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“（二）因存在重大事故隐患被依法责令停产停业、停止施工、停止使用有关设备、设施、场所或者立即采取排除危险的整改措施，而拒不执行的；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“（三）涉及安全生产的事项未经依法批准或者许可，擅自从事矿山开采、金属冶炼、建筑施工，以及危险物品生产、经营、储存等高度危险的生产作业活动的。”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五、将刑法第一百四十一条修改为：“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“药品使用单位的人员明知是假药而提供给他人使用的，依照前款的规定处罚。”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六、将刑法第一百四十二条修改为：“生产、销售劣药，对人体健康造成严重危害的，处三年以上十年以下有期徒刑，并处罚金；后果特别严重的，处十年以上有期徒刑或者无期徒刑，并处罚金或者没收财产。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“药品使用单位的人员明知是劣药而提供给他人使用的，依照前款的规定处罚。”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七、在刑法第一百四十二条后增加一条，作为第一百四十二条之一：“违反药品管理法规，有下列情形之一，足以严重危害人体健康的，处三年以下有期徒刑或者拘役，并处或者单处罚金；对人体健康造成严重危害或者有其他严重情节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“（一）生产、销售国务院药品监督管理部门禁止使用的药品的；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“（二）未取得药品相关批准证明文件生产、进口药品或者明知是上述药品而销售的；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“（三）药品申请注册中提供虚假的证明、数据、资料、样品或者采取其他欺骗手段的；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“（四）编造生产、检验记录的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“有前款行为，同时又构成本法第一百四十一条、第一百四十二条规定之罪或者其他犯罪的，依照处罚较重的规定定罪处罚。”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八、将刑法第一百六十条修改为：“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“单位犯前两款罪的，对单位判处非法募集资金金额百分之二十以上一倍以下罚金，并对其直接负责的主管人员和其他直接责任人员，依照第一款的规定处罚。”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九、将刑法第一百六十一条修改为：“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“前款规定的公司、企业的控股股东、实际控制人实施或者组织、指使实施前款行为的，或者隐瞒相关事项导致前款规定的情形发生的，依照前款的规定处罚。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“犯前款罪的控股股东、实际控制人是单位的，对单位判处罚金，并对其直接负责的主管人员和其他直接责任人员，依照第一款的规定处罚。”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十、将刑法第一百六十三条第一款修改为：“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十一、将刑法第一百七十五条之一第一款修改为：“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十二、将刑法第一百七十六条修改为：“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“有前两款行为，在提起公诉前积极退赃退赔，减少损害结果发生的，可以从轻或者减轻处罚。”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十三、将刑法第一百八十二条第一款修改为：“有下列情形之一，操纵证券、期货市场，影响证券、期货交易价格或者证券、期货交易量，情节严重的，处五年以下有期徒刑或者拘役，并处或者单处罚金；情节特别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“（一）单独或者合谋，集中资金优势、持股或者持仓优势或者利用信息优势联合或者连续买卖的；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“（二）与他人串通，以事先约定的时间、价格和方式相互进行证券、期货交易的；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“（三）在自己实际控制的帐户之间进行证券交易，或者以自己为交易对象，自买自卖期货合约的；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“（四）不以成交为目的，频繁或者大量申报买入、卖出证券、期货合约并撤销申报的；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“（五）利用虚假或者不确定的重大信息，诱导投资者进行证券、期货交易的；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“（六）对证券、证券发行人、期货交易标的公开作出评价、预测或者投资建议，同时进行反向证券交易或者相关期货交易的；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“（七）以其他方法操纵证券、期货市场的。”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十四、将刑法第一百九十一条修改为：“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“（一）提供资金帐户的；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“（二）将财产转换为现金、金融票据、有价证券的；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“（三）通过转帐或者其他支付结算方式转移资金的；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“（四）跨境转移资产的；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“（五）以其他方法掩饰、隐瞒犯罪所得及其收益的来源和性质的。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十五、将刑法第一百九十二条修改为：“以非法占有为目的，使用诈骗方法非法集资，数额较大的，处三年以上七年以下有期徒刑，并处罚金；数额巨大或者有其他严重情节的，处七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十六、将刑法第二百条修改为：“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十七、将刑法第二百一十三条修改为：“未经注册商标所有人许可，在同一种商品、服务上使用与其注册商标相同的商标，情节严重的，处三年以下有期徒刑，并处或者单处罚金；情节特别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十八、将刑法第二百一十四条修改为：“销售明知是假冒注册商标的商品，违法所得数额较大或者有其他严重情节的，处三年以下有期徒刑，并处或者单处罚金；违法所得数额巨大或者有其他特别严重情节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十九、将刑法第二百一十五条修改为：“伪造、擅自制造他人注册商标标识或者销售伪造、擅自制造的注册商标标识，情节严重的，处三年以下有期徒刑，并处或者单处罚金；情节特别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十、将刑法第二百一十七条修改为：“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“（一）未经著作权人许可，复制发行、通过信息网络向公众传播其文字作品、音乐、美术、视听作品、计算机软件及法律、行政法规规定的其他作品的；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“（二）出版他人享有专有出版权的图书的；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“（三）未经录音录像制作者许可，复制发行、通过信息网络向公众传播其制作的录音录像的；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“（四）未经表演者许可，复制发行录有其表演的录音录像制品，或者通过信息网络向公众传播其表演的；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“（五）制作、出售假冒他人署名的美术作品的；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“（六）未经著作权人或者与著作权有关的权利人许可，故意避开或者破坏权利人为其作品、录音录像制品等采取的保护著作权或者与著作权有关的权利的技术措施的。”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二十一、将刑法第二百一十八条修改为：“以营利为目的，销售明知是本法第二百一十七条规定的侵权复制品，违法所得数额巨大或者有其他严重情节的，处五年以下有期徒刑，并处或者单处罚金。”</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二十二、将刑法第二百一十九条修改为：“有下列侵犯商业秘密行为之一，情节严重的，处三年以下有期徒刑，并处或者单处罚金；情节特别严重的，处三年以上十年以下有期徒刑，并处罚金：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“（一）以盗窃、贿赂、欺诈、胁迫、电子侵入或者其他不正当手段获取权利人的商业秘密的；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“（二）披露、使用或者允许他人使用以前项手段获取的权利人的商业秘密的；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“（三）违反保密义务或者违反权利人有关保守商业秘密的要求，披露、使用或者允许他人使用其所掌握的商业秘密的。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“明知前款所列行为，获取、披露、使用或者允许他人使用该商业秘密的，以侵犯商业秘密论。</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“本条所称权利人，是指商业秘密的所有人和经商业秘密所有人许可的商业秘密使用人。”</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十三、在刑法第二百一十九条后增加一条，作为第二百一十九条之一：“为境外的机构、组织、人员窃取、刺探、收买、非法提供商业秘密的，处五年以下有期徒刑，并处或者单处罚金；情节严重的，处五年以上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二十四、将刑法第二百二十条修改为：“单位犯本节第二百一十三条至第二百一十九条之一规定之罪的，对单位判处罚金，并对其直接负责的主管人员和其他直接责任人员，依照本节各该条的规定处罚。”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color w:val="C00000"/>
          <w:sz w:val="21"/>
          <w:szCs w:val="21"/>
          <w:u w:val="none"/>
          <w:lang w:val="en-US" w:eastAsia="zh-CN"/>
        </w:rPr>
        <w:t>二十五、将刑法第二百二十九条修改为：“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“（一）提供与证券发行相关的虚假的资产评估、会计、审计、法律服务、保荐等证明文件，情节特别严重的；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“（二）提供与重大资产交易相关的虚假的资产评估、会计、审计等证明文件，情节特别严重的；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“（三）在涉及公共安全的重大工程、项目中提供虚假的安全评价、环境影响评价等证明文件，致使公共财产、国家和人民利益遭受特别重大损失的。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“有前款行为，同时索取他人财物或者非法收受他人财物构成犯罪的，依照处罚较重的规定定罪处罚。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“第一款规定的人员，严重不负责任，出具的证明文件有重大失实，造成严重后果的，处三年以下有期徒刑或者拘役，并处或者单处罚金。”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二十六、将刑法第二百三十六条修改为：“以暴力、胁迫或者其他手段强奸妇女的，处三年以上十年以下有期徒刑。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“奸淫不满十四周岁的幼女的，以强奸论，从重处罚。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“强奸妇女、奸淫幼女，有下列情形之一的，处十年以上有期徒刑、无期徒刑或者死刑：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“（一）强奸妇女、奸淫幼女情节恶劣的；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“（二）强奸妇女、奸淫幼女多人的；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“（三）在公共场所当众强奸妇女、奸淫幼女的；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“（四）二人以上轮奸的；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“（五）奸淫不满十周岁的幼女或者造成幼女伤害的；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“（六）致使被害人重伤、死亡或者造成其他严重后果的。”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十七、在刑法第二百三十六条后增加一条，作为第二百三十六条之一：“对已满十四周岁不满十六周岁的未成年女性负有监护、收养、看护、教育、医疗等特殊职责的人员，与该未成年女性发生性关系的，处三年以下有期徒刑；情节恶劣的，处三年以上十年以下有期徒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“有前款行为，同时又构成本法第二百三十六条规定之罪的，依照处罚较重的规定定罪处罚。”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二十八、将刑法第二百三十七条第三款修改为：“猥亵儿童的，处五年以下有期徒刑；有下列情形之一的，处五年以上有期徒刑：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“（一）猥亵儿童多人或者多次的；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“（二）聚众猥亵儿童的，或者在公共场所当众猥亵儿童，情节恶劣的；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“（三）造成儿童伤害或者其他严重后果的；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“（四）猥亵手段恶劣或者有其他恶劣情节的。”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十九、将刑法第二百七十一条第一款修改为：“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十、将刑法第二百七十二条修改为：“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“国有公司、企业或者其他国有单位中从事公务的人员和国有公司、企业或者其他国有单位委派到非国有公司、企业以及其他单位从事公务的人员有前款行为的，依照本法第三百八十四条的规定定罪处罚。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“有第一款行为，在提起公诉前将挪用的资金退还的，可以从轻或者减轻处罚。其中，犯罪较轻的，可以减轻或者免除处罚。”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十一、将刑法第二百七十七条第五款修改为：“暴力袭击正在依法执行职务的人民警察的，处三年以下有期徒刑、拘役或者管制；使用枪支、管制刀具，或者以驾驶机动车撞击等手段，严重危及其人身安全的，处三年以上七年以下有期徒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十二、在刑法第二百八十条之一后增加一条，作为第二百八十条之二：“盗用、冒用他人身份，顶替他人取得的高等学历教育入学资格、公务员录用资格、就业安置待遇的，处三年以下有期徒刑、拘役或者管制，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“组织、指使他人实施前款行为的，依照前款的规定从重处罚。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“国家工作人员有前两款行为，又构成其他犯罪的，依照数罪并罚的规定处罚。”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三十三、在刑法第二百九十一条之一后增加一条，作为第二百九十一条之二：“从建筑物或者其他高空抛掷物品，情节严重的，处一年以下有期徒刑、拘役或者管制，并处或者单处罚金。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“有前款行为，同时构成其他犯罪的，依照处罚较重的规定定罪处罚。”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三十四、在刑法第二百九十三条后增加一条，作为第二百九十三条之一：“有下列情形之一，催收高利放贷等产生的非法债务，情节严重的，处三年以下有期徒刑、拘役或者管制，并处或者单处罚金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“（一）使用暴力、胁迫方法的；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“（二）限制他人人身自由或者侵入他人住宅的；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“（三）恐吓、跟踪、骚扰他人的。”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十五、在刑法第二百九十九条后增加一条，作为第二百九十九条之一：“侮辱、诽谤或者以其他方式侵害英雄烈士的名誉、荣誉，损害社会公共利益，情节严重的，处三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三十六、将刑法第三百零三条修改为：“以营利为目的，聚众赌博或者以赌博为业的，处三年以下有期徒刑、拘役或者管制，并处罚金。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“开设赌场的，处五年以下有期徒刑、拘役或者管制，并处罚金；情节严重的，处五年以上十年以下有期徒刑，并处罚金。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“组织中华人民共和国公民参与国（境）外赌博，数额巨大或者有其他严重情节的，依照前款的规定处罚。”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十七、将刑法第三百三十条第一款修改为：“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“（一）供水单位供应的饮用水不符合国家规定的卫生标准的；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“（二）拒绝按照疾病预防控制机构提出的卫生要求，对传染病病原体污染的污水、污物、场所和物品进行消毒处理的；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“（三）准许或者纵容传染病病人、病原携带者和疑似传染病病人从事国务院卫生行政部门规定禁止从事的易使该传染病扩散的工作的；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“（四）出售、运输疫区中被传染病病原体污染或者可能被传染病病原体污染的物品，未进行消毒处理的；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“（五）拒绝执行县级以上人民政府、疾病预防控制机构依照传染病防治法提出的预防、控制措施的。”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十八、在刑法第三百三十四条后增加一条，作为第三百三十四条之一：“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十九、在刑法第三百三十六条后增加一条，作为第三百三十六条之一：“将基因编辑、克隆的人类胚胎植入人体或者动物体内，或者将基因编辑、克隆的动物胚胎植入人体内，情节严重的，处三年以下有期徒刑或者拘役，并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十、将刑法第三百三十八条修改为：“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“（一）在饮用水水源保护区、自然保护地核心保护区等依法确定的重点保护区域排放、倾倒、处置有放射性的废物、含传染病病原体的废物、有毒物质，情节特别严重的；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“（二）向国家确定的重要江河、湖泊水域排放、倾倒、处置有放射性的废物、含传染病病原体的废物、有毒物质，情节特别严重的；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“（三）致使大量永久基本农田基本功能丧失或者遭受永久性破坏的；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“（四）致使多人重伤、严重疾病，或者致人严重残疾、死亡的。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“有前款行为，同时构成其他犯罪的，依照处罚较重的规定定罪处罚。”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十一、在刑法第三百四十一条中增加一款作为第三款：“违反野生动物保护管理法规，以食用为目的非法猎捕、收购、运输、出售第一款规定以外的在野外环境自然生长繁殖的陆生野生动物，情节严重的，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十二、在刑法第三百四十二条后增加一条，作为第三百四十二条之一：“违反自然保护地管理法规，在国家公园、国家级自然保护区进行开垦、开发活动或者修建建筑物，造成严重后果或者有其他恶劣情节的，处五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“有前款行为，同时构成其他犯罪的，依照处罚较重的规定定罪处罚。”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四十三、在刑法第三百四十四条后增加一条，作为第三百四十四条之一：“违反国家规定，非法引进、释放或者丢弃外来入侵物种，情节严重的，处三年以下有期徒刑或者拘役，并处或者单处罚金。”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十四、在刑法第三百五十五条后增加一条，作为第三百五十五条之一：“引诱、教唆、欺骗运动员使用兴奋剂参加国内、国际重大体育竞赛，或者明知运动员参加上述竞赛而向其提供兴奋剂，情节严重的，处三年以下有期徒刑或者拘役，并处罚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“组织、强迫运动员使用兴奋剂参加国内、国际重大体育竞赛的，依照前款的规定从重处罚。”</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十五、将刑法第四百零八条之一第一款修改为：“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“（一）瞒报、谎报食品安全事故、药品安全事件的；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“（二）对发现的严重食品药品安全违法行为未按规定查处的；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“（三）在药品和特殊食品审批审评过程中，对不符合条件的申请准予许可的；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“（四）依法应当移交司法机关追究刑事责任不移交的；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“（五）有其他滥用职权或者玩忽职守行为的。”</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四十六、将刑法第四百三十一条第二款修改为：“为境外的机构、组织、人员窃取、刺探、收买、非法提供军事秘密的，处五年以上十年以下有期徒刑；情节严重的，处十年以上有期徒刑、无期徒刑或者死刑。”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十七、将刑法第四百五十条修改为：“本章适用于中国人民解放军的现役军官、文职干部、士兵及具有军籍的学员和中国人民武装警察部队的现役警官、文职干部、士兵及具有军籍的学员以及文职人员、执行军事任务的预备役人员和其他人员。”</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四十八、本修正案自2021年3月1日起施行。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B6421"/>
    <w:rsid w:val="38364779"/>
    <w:rsid w:val="48A9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2020-12-30T03:18:23Z</dcterms:created>
  <dc:creator>Admin</dc:creator>
  <cp:lastModifiedBy>春天里</cp:lastModifiedBy>
  <dcterms:modified xsi:type="dcterms:W3CDTF">2020-12-30T03:27:25Z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