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28"/>
          <w:szCs w:val="28"/>
          <w:highlight w:val="none"/>
          <w:lang w:val="en-US" w:eastAsia="zh-CN" w:bidi="ar-SA"/>
        </w:rPr>
      </w:pPr>
      <w:r>
        <w:rPr>
          <w:rStyle w:val="21"/>
          <w:rFonts w:hint="eastAsia" w:ascii="宋体" w:hAnsi="宋体" w:eastAsia="宋体" w:cs="宋体"/>
          <w:i w:val="0"/>
          <w:caps w:val="0"/>
          <w:color w:val="343333"/>
          <w:spacing w:val="0"/>
          <w:sz w:val="28"/>
          <w:szCs w:val="28"/>
          <w:shd w:val="clear" w:fill="FFFFFF"/>
          <w:lang w:eastAsia="zh-CN"/>
        </w:rPr>
        <w:t>《</w:t>
      </w:r>
      <w:r>
        <w:rPr>
          <w:rStyle w:val="21"/>
          <w:rFonts w:hint="default" w:ascii="宋体" w:hAnsi="宋体" w:eastAsia="宋体" w:cs="宋体"/>
          <w:i w:val="0"/>
          <w:caps w:val="0"/>
          <w:color w:val="343333"/>
          <w:spacing w:val="0"/>
          <w:sz w:val="28"/>
          <w:szCs w:val="28"/>
          <w:shd w:val="clear" w:fill="FFFFFF"/>
          <w:lang w:eastAsia="zh-CN"/>
        </w:rPr>
        <w:t>御东珺璟项目用地</w:t>
      </w:r>
      <w:r>
        <w:rPr>
          <w:rStyle w:val="21"/>
          <w:rFonts w:hint="eastAsia" w:ascii="宋体" w:hAnsi="宋体" w:eastAsia="宋体" w:cs="宋体"/>
          <w:i w:val="0"/>
          <w:caps w:val="0"/>
          <w:color w:val="343333"/>
          <w:spacing w:val="0"/>
          <w:sz w:val="28"/>
          <w:szCs w:val="28"/>
          <w:shd w:val="clear" w:fill="FFFFFF"/>
          <w:lang w:val="en-US" w:eastAsia="zh-CN"/>
        </w:rPr>
        <w:t xml:space="preserve"> </w:t>
      </w:r>
      <w:r>
        <w:rPr>
          <w:rStyle w:val="21"/>
          <w:rFonts w:hint="default" w:ascii="宋体" w:hAnsi="宋体" w:eastAsia="宋体" w:cs="宋体"/>
          <w:i w:val="0"/>
          <w:caps w:val="0"/>
          <w:color w:val="343333"/>
          <w:spacing w:val="0"/>
          <w:sz w:val="28"/>
          <w:szCs w:val="28"/>
          <w:shd w:val="clear" w:fill="FFFFFF"/>
          <w:lang w:eastAsia="zh-CN"/>
        </w:rPr>
        <w:t>场地环境初步调查报告</w:t>
      </w:r>
      <w:r>
        <w:rPr>
          <w:rStyle w:val="21"/>
          <w:rFonts w:hint="eastAsia" w:ascii="宋体" w:hAnsi="宋体" w:eastAsia="宋体" w:cs="宋体"/>
          <w:i w:val="0"/>
          <w:caps w:val="0"/>
          <w:color w:val="343333"/>
          <w:spacing w:val="0"/>
          <w:sz w:val="28"/>
          <w:szCs w:val="28"/>
          <w:shd w:val="clear" w:fill="FFFFFF"/>
          <w:lang w:eastAsia="zh-CN"/>
        </w:rPr>
        <w:t>》</w:t>
      </w:r>
      <w:r>
        <w:rPr>
          <w:rStyle w:val="21"/>
          <w:rFonts w:hint="eastAsia" w:ascii="宋体" w:hAnsi="宋体" w:eastAsia="宋体" w:cs="宋体"/>
          <w:i w:val="0"/>
          <w:caps w:val="0"/>
          <w:color w:val="343333"/>
          <w:spacing w:val="0"/>
          <w:sz w:val="28"/>
          <w:szCs w:val="28"/>
          <w:bdr w:val="none" w:color="auto" w:sz="0" w:space="0"/>
          <w:shd w:val="clear" w:fill="FFFFFF"/>
        </w:rPr>
        <w:t>公示（简本）</w:t>
      </w:r>
    </w:p>
    <w:p>
      <w:pPr>
        <w:pStyle w:val="6"/>
        <w:bidi w:val="0"/>
        <w:spacing w:before="60" w:after="60"/>
        <w:outlineLvl w:val="2"/>
        <w:rPr>
          <w:rFonts w:hint="default" w:ascii="Times New Roman" w:hAnsi="Times New Roman" w:cs="Times New Roman"/>
          <w:highlight w:val="none"/>
          <w:lang w:val="en-US" w:eastAsia="zh-CN"/>
        </w:rPr>
      </w:pPr>
      <w:bookmarkStart w:id="0" w:name="_Toc10951"/>
      <w:bookmarkStart w:id="1" w:name="_Toc10151"/>
      <w:bookmarkStart w:id="2" w:name="_Toc20128"/>
      <w:bookmarkStart w:id="3" w:name="_Toc9293"/>
      <w:bookmarkStart w:id="4" w:name="_Toc29005"/>
      <w:bookmarkStart w:id="5" w:name="_Toc1979"/>
      <w:bookmarkStart w:id="6" w:name="_Toc10130"/>
      <w:bookmarkStart w:id="7" w:name="_Toc17871"/>
      <w:bookmarkStart w:id="8" w:name="_Toc9411"/>
      <w:bookmarkStart w:id="9" w:name="_Toc2459"/>
      <w:bookmarkStart w:id="10" w:name="_Toc11546"/>
      <w:bookmarkStart w:id="11" w:name="_Toc30045"/>
      <w:bookmarkStart w:id="12" w:name="_Toc19962"/>
      <w:r>
        <w:rPr>
          <w:rFonts w:hint="default" w:ascii="Times New Roman" w:hAnsi="Times New Roman" w:cs="Times New Roman"/>
          <w:highlight w:val="none"/>
          <w:lang w:val="en-US" w:eastAsia="zh-CN"/>
        </w:rPr>
        <w:t>1 场地概况</w:t>
      </w:r>
      <w:bookmarkEnd w:id="0"/>
      <w:bookmarkEnd w:id="1"/>
      <w:bookmarkEnd w:id="2"/>
      <w:bookmarkEnd w:id="3"/>
      <w:bookmarkEnd w:id="4"/>
      <w:bookmarkEnd w:id="5"/>
      <w:bookmarkEnd w:id="6"/>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eastAsia="zh-CN"/>
        </w:rPr>
        <w:t>御东珺璟项目用地位于三河市燕郊镇</w:t>
      </w:r>
      <w:r>
        <w:rPr>
          <w:rFonts w:hint="default" w:ascii="Times New Roman" w:hAnsi="Times New Roman" w:cs="Times New Roman"/>
          <w:b w:val="0"/>
          <w:bCs w:val="0"/>
          <w:color w:val="auto"/>
          <w:sz w:val="24"/>
          <w:szCs w:val="24"/>
          <w:highlight w:val="none"/>
          <w:lang w:eastAsia="zh-CN"/>
        </w:rPr>
        <w:t>南纵一路以</w:t>
      </w:r>
      <w:r>
        <w:rPr>
          <w:rFonts w:hint="default" w:ascii="Times New Roman" w:hAnsi="Times New Roman" w:cs="Times New Roman" w:eastAsiaTheme="minorEastAsia"/>
          <w:b w:val="0"/>
          <w:bCs w:val="0"/>
          <w:color w:val="auto"/>
          <w:sz w:val="24"/>
          <w:szCs w:val="24"/>
          <w:highlight w:val="none"/>
          <w:lang w:eastAsia="zh-CN"/>
        </w:rPr>
        <w:t>东，南横三路以南，水厂南路以西，紫罗兰路以北，占地面</w:t>
      </w:r>
      <w:r>
        <w:rPr>
          <w:rFonts w:hint="default" w:ascii="Times New Roman" w:hAnsi="Times New Roman" w:cs="Times New Roman" w:eastAsiaTheme="minorEastAsia"/>
          <w:b w:val="0"/>
          <w:bCs w:val="0"/>
          <w:sz w:val="24"/>
          <w:szCs w:val="24"/>
          <w:highlight w:val="none"/>
          <w:lang w:eastAsia="zh-CN"/>
        </w:rPr>
        <w:t>积</w:t>
      </w:r>
      <w:r>
        <w:rPr>
          <w:rFonts w:hint="default" w:ascii="Times New Roman" w:hAnsi="Times New Roman" w:cs="Times New Roman" w:eastAsiaTheme="minorEastAsia"/>
          <w:b w:val="0"/>
          <w:bCs w:val="0"/>
          <w:sz w:val="24"/>
          <w:szCs w:val="24"/>
          <w:highlight w:val="none"/>
          <w:lang w:val="en-US" w:eastAsia="zh-CN"/>
        </w:rPr>
        <w:t>53680m</w:t>
      </w:r>
      <w:r>
        <w:rPr>
          <w:rFonts w:hint="default" w:ascii="Times New Roman" w:hAnsi="Times New Roman" w:cs="Times New Roman" w:eastAsiaTheme="minorEastAsia"/>
          <w:b w:val="0"/>
          <w:bCs w:val="0"/>
          <w:sz w:val="24"/>
          <w:szCs w:val="24"/>
          <w:highlight w:val="none"/>
          <w:vertAlign w:val="superscript"/>
          <w:lang w:val="en-US" w:eastAsia="zh-CN"/>
        </w:rPr>
        <w:t>2</w:t>
      </w:r>
      <w:r>
        <w:rPr>
          <w:rFonts w:hint="default" w:ascii="Times New Roman" w:hAnsi="Times New Roman" w:cs="Times New Roman" w:eastAsiaTheme="minorEastAsia"/>
          <w:b w:val="0"/>
          <w:bCs w:val="0"/>
          <w:sz w:val="24"/>
          <w:szCs w:val="24"/>
          <w:highlight w:val="none"/>
          <w:lang w:val="en-US" w:eastAsia="zh-CN"/>
        </w:rPr>
        <w:t>（约</w:t>
      </w:r>
      <w:r>
        <w:rPr>
          <w:rFonts w:hint="default" w:ascii="Times New Roman" w:hAnsi="Times New Roman" w:cs="Times New Roman"/>
          <w:b w:val="0"/>
          <w:bCs w:val="0"/>
          <w:sz w:val="24"/>
          <w:szCs w:val="24"/>
          <w:highlight w:val="none"/>
          <w:lang w:val="en-US" w:eastAsia="zh-CN"/>
        </w:rPr>
        <w:t>合</w:t>
      </w:r>
      <w:r>
        <w:rPr>
          <w:rFonts w:hint="default" w:ascii="Times New Roman" w:hAnsi="Times New Roman" w:cs="Times New Roman" w:eastAsiaTheme="minorEastAsia"/>
          <w:b w:val="0"/>
          <w:bCs w:val="0"/>
          <w:sz w:val="24"/>
          <w:szCs w:val="24"/>
          <w:highlight w:val="none"/>
          <w:lang w:val="en-US" w:eastAsia="zh-CN"/>
        </w:rPr>
        <w:t>80.52亩）。该地块历史上为农田</w:t>
      </w:r>
      <w:r>
        <w:rPr>
          <w:rFonts w:hint="default" w:ascii="Times New Roman" w:hAnsi="Times New Roman" w:cs="Times New Roman"/>
          <w:b w:val="0"/>
          <w:bCs w:val="0"/>
          <w:sz w:val="24"/>
          <w:szCs w:val="24"/>
          <w:highlight w:val="none"/>
          <w:lang w:val="en-US" w:eastAsia="zh-CN"/>
        </w:rPr>
        <w:t>，自2015年地块北侧燕郊现代服务产业园区开发起，本项目地块不再进行耕种，仅地块西侧部分范围仍在进行树木种植，除此之外未进行过其他生产活动。目前本项目地块处于闲置状态。</w:t>
      </w:r>
    </w:p>
    <w:p>
      <w:pPr>
        <w:pStyle w:val="6"/>
        <w:bidi w:val="0"/>
        <w:spacing w:before="60" w:after="60"/>
        <w:outlineLvl w:val="2"/>
        <w:rPr>
          <w:rFonts w:hint="default" w:ascii="Times New Roman" w:hAnsi="Times New Roman" w:cs="Times New Roman"/>
          <w:highlight w:val="none"/>
          <w:lang w:val="en-US" w:eastAsia="zh-CN"/>
        </w:rPr>
      </w:pPr>
      <w:bookmarkStart w:id="13" w:name="_Toc11833"/>
      <w:bookmarkStart w:id="14" w:name="_Toc20287"/>
      <w:bookmarkStart w:id="15" w:name="_Toc18307"/>
      <w:bookmarkStart w:id="16" w:name="_Toc4447"/>
      <w:bookmarkStart w:id="17" w:name="_Toc7550"/>
      <w:bookmarkStart w:id="18" w:name="_Toc21865"/>
      <w:bookmarkStart w:id="19" w:name="_Toc30258"/>
      <w:bookmarkStart w:id="20" w:name="_Toc24140"/>
      <w:bookmarkStart w:id="21" w:name="_Toc30817"/>
      <w:bookmarkStart w:id="22" w:name="_Toc9911"/>
      <w:bookmarkStart w:id="23" w:name="_Toc20859"/>
      <w:bookmarkStart w:id="24" w:name="_Toc10318"/>
      <w:r>
        <w:rPr>
          <w:rFonts w:hint="default" w:ascii="Times New Roman" w:hAnsi="Times New Roman" w:cs="Times New Roman"/>
          <w:highlight w:val="none"/>
          <w:lang w:val="en-US" w:eastAsia="zh-CN"/>
        </w:rPr>
        <w:t xml:space="preserve">2 </w:t>
      </w:r>
      <w:bookmarkEnd w:id="13"/>
      <w:bookmarkEnd w:id="14"/>
      <w:bookmarkEnd w:id="15"/>
      <w:bookmarkEnd w:id="16"/>
      <w:bookmarkEnd w:id="17"/>
      <w:bookmarkEnd w:id="18"/>
      <w:bookmarkEnd w:id="19"/>
      <w:bookmarkEnd w:id="20"/>
      <w:bookmarkEnd w:id="21"/>
      <w:bookmarkEnd w:id="22"/>
      <w:bookmarkEnd w:id="23"/>
      <w:r>
        <w:rPr>
          <w:rFonts w:hint="default" w:ascii="Times New Roman" w:hAnsi="Times New Roman" w:cs="Times New Roman"/>
          <w:highlight w:val="none"/>
          <w:lang w:val="en-US" w:eastAsia="zh-CN"/>
        </w:rPr>
        <w:t>场地土壤初步检测工作</w:t>
      </w:r>
      <w:bookmarkEnd w:id="24"/>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2018年11月三河市生态环境保护局委托河北华清环境科技集团股份有限公司对按照</w:t>
      </w:r>
      <w:r>
        <w:rPr>
          <w:rFonts w:hint="default" w:ascii="Times New Roman" w:hAnsi="Times New Roman" w:cs="Times New Roman" w:eastAsiaTheme="minorEastAsia"/>
          <w:b w:val="0"/>
          <w:bCs w:val="0"/>
          <w:sz w:val="24"/>
          <w:szCs w:val="24"/>
          <w:highlight w:val="none"/>
          <w:lang w:val="en-US" w:eastAsia="zh-CN"/>
        </w:rPr>
        <w:t>《土壤环境质量 建设用地土壤污染风险管控标准（试行）》（</w:t>
      </w:r>
      <w:r>
        <w:rPr>
          <w:rFonts w:hint="default" w:ascii="Times New Roman" w:hAnsi="Times New Roman" w:cs="Times New Roman"/>
          <w:b w:val="0"/>
          <w:bCs w:val="0"/>
          <w:sz w:val="24"/>
          <w:szCs w:val="24"/>
          <w:highlight w:val="none"/>
          <w:lang w:val="en-US" w:eastAsia="zh-CN"/>
        </w:rPr>
        <w:t>GB36600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eastAsiaTheme="minorEastAsia"/>
          <w:b w:val="0"/>
          <w:bCs w:val="0"/>
          <w:sz w:val="24"/>
          <w:szCs w:val="24"/>
          <w:highlight w:val="none"/>
          <w:lang w:val="en-US" w:eastAsia="zh-CN"/>
        </w:rPr>
        <w:t>-2018）</w:t>
      </w:r>
      <w:r>
        <w:rPr>
          <w:rFonts w:hint="default" w:ascii="Times New Roman" w:hAnsi="Times New Roman" w:cs="Times New Roman"/>
          <w:b w:val="0"/>
          <w:bCs w:val="0"/>
          <w:sz w:val="24"/>
          <w:szCs w:val="24"/>
          <w:highlight w:val="none"/>
          <w:lang w:val="en-US" w:eastAsia="zh-CN"/>
        </w:rPr>
        <w:t>相关要求本地块进行基本项目45项的土壤检测，并根据GB36600</w:t>
      </w:r>
      <w:r>
        <w:rPr>
          <w:rFonts w:hint="default" w:ascii="Times New Roman" w:hAnsi="Times New Roman" w:cs="Times New Roman" w:eastAsiaTheme="minorEastAsia"/>
          <w:b w:val="0"/>
          <w:bCs w:val="0"/>
          <w:sz w:val="24"/>
          <w:szCs w:val="24"/>
          <w:highlight w:val="none"/>
          <w:lang w:val="en-US" w:eastAsia="zh-CN"/>
        </w:rPr>
        <w:t>-2018</w:t>
      </w:r>
      <w:r>
        <w:rPr>
          <w:rFonts w:hint="default" w:ascii="Times New Roman" w:hAnsi="Times New Roman" w:cs="Times New Roman"/>
          <w:b w:val="0"/>
          <w:bCs w:val="0"/>
          <w:sz w:val="24"/>
          <w:szCs w:val="24"/>
          <w:highlight w:val="none"/>
          <w:lang w:val="en-US" w:eastAsia="zh-CN"/>
        </w:rPr>
        <w:t>中第一类用地（居住用地）标准进行评价。河北华清环境科技集团股份有限公司在本地块内布设9个土壤采样点位，采集18组（个）土壤样品及2组（个）土壤平行样品。</w:t>
      </w:r>
      <w:r>
        <w:rPr>
          <w:rFonts w:hint="default" w:ascii="Times New Roman" w:hAnsi="Times New Roman" w:cs="Times New Roman" w:eastAsiaTheme="minorEastAsia"/>
          <w:sz w:val="24"/>
          <w:highlight w:val="none"/>
          <w:lang w:val="en-US" w:eastAsia="zh-CN"/>
        </w:rPr>
        <w:t>根据检测报告统计分析结果，该场地内土壤样品</w:t>
      </w:r>
      <w:r>
        <w:rPr>
          <w:rFonts w:hint="default" w:ascii="Times New Roman" w:hAnsi="Times New Roman" w:cs="Times New Roman"/>
          <w:sz w:val="24"/>
          <w:highlight w:val="none"/>
          <w:lang w:val="en-US" w:eastAsia="zh-CN"/>
        </w:rPr>
        <w:t>中</w:t>
      </w:r>
      <w:r>
        <w:rPr>
          <w:rFonts w:hint="default" w:ascii="Times New Roman" w:hAnsi="Times New Roman" w:cs="Times New Roman" w:eastAsiaTheme="minorEastAsia"/>
          <w:sz w:val="24"/>
          <w:highlight w:val="none"/>
          <w:lang w:val="en-US" w:eastAsia="zh-CN"/>
        </w:rPr>
        <w:t>检出的污染</w:t>
      </w:r>
      <w:r>
        <w:rPr>
          <w:rFonts w:hint="default" w:ascii="Times New Roman" w:hAnsi="Times New Roman" w:cs="Times New Roman"/>
          <w:sz w:val="24"/>
          <w:highlight w:val="none"/>
          <w:lang w:val="en-US" w:eastAsia="zh-CN"/>
        </w:rPr>
        <w:t>因子</w:t>
      </w:r>
      <w:r>
        <w:rPr>
          <w:rFonts w:hint="default" w:ascii="Times New Roman" w:hAnsi="Times New Roman" w:cs="Times New Roman" w:eastAsiaTheme="minorEastAsia"/>
          <w:sz w:val="24"/>
          <w:highlight w:val="none"/>
          <w:lang w:val="en-US" w:eastAsia="zh-CN"/>
        </w:rPr>
        <w:t>为：砷、镉、铜、铅、汞、镍、苯并[a]蒽、䓛、苯并[b]荧蒽、苯并[k]荧蒽，其他因子均未检出，各因子的最大检出浓度均未超过本次</w:t>
      </w:r>
      <w:r>
        <w:rPr>
          <w:rFonts w:hint="default" w:ascii="Times New Roman" w:hAnsi="Times New Roman" w:cs="Times New Roman"/>
          <w:sz w:val="24"/>
          <w:highlight w:val="none"/>
          <w:lang w:val="en-US" w:eastAsia="zh-CN"/>
        </w:rPr>
        <w:t>场地评价</w:t>
      </w:r>
      <w:r>
        <w:rPr>
          <w:rFonts w:hint="default" w:ascii="Times New Roman" w:hAnsi="Times New Roman" w:cs="Times New Roman" w:eastAsiaTheme="minorEastAsia"/>
          <w:sz w:val="24"/>
          <w:highlight w:val="none"/>
          <w:lang w:val="en-US" w:eastAsia="zh-CN"/>
        </w:rPr>
        <w:t>所选用的筛选值，本场地内土壤未受到场地活动的明显影响，因此本场地无需启动风险评估。</w:t>
      </w:r>
    </w:p>
    <w:p>
      <w:pPr>
        <w:pStyle w:val="6"/>
        <w:bidi w:val="0"/>
        <w:spacing w:before="60" w:after="60"/>
        <w:outlineLvl w:val="2"/>
        <w:rPr>
          <w:rFonts w:hint="default" w:ascii="Times New Roman" w:hAnsi="Times New Roman" w:cs="Times New Roman"/>
          <w:highlight w:val="none"/>
          <w:lang w:val="en-US" w:eastAsia="zh-CN"/>
        </w:rPr>
      </w:pPr>
      <w:bookmarkStart w:id="25" w:name="_Toc19169"/>
      <w:r>
        <w:rPr>
          <w:rFonts w:hint="default" w:ascii="Times New Roman" w:hAnsi="Times New Roman" w:cs="Times New Roman"/>
          <w:highlight w:val="none"/>
          <w:lang w:val="en-US" w:eastAsia="zh-CN"/>
        </w:rPr>
        <w:t>3 补充调查现场采样与检测</w:t>
      </w:r>
      <w:bookmarkEnd w:id="25"/>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eastAsiaTheme="minorEastAsia"/>
          <w:b w:val="0"/>
          <w:bCs w:val="0"/>
          <w:sz w:val="24"/>
          <w:szCs w:val="24"/>
          <w:highlight w:val="none"/>
          <w:lang w:val="en-US" w:eastAsia="zh-CN"/>
        </w:rPr>
        <w:t>我单位于201</w:t>
      </w:r>
      <w:r>
        <w:rPr>
          <w:rFonts w:hint="default" w:ascii="Times New Roman" w:hAnsi="Times New Roman" w:cs="Times New Roman"/>
          <w:b w:val="0"/>
          <w:bCs w:val="0"/>
          <w:sz w:val="24"/>
          <w:szCs w:val="24"/>
          <w:highlight w:val="none"/>
          <w:lang w:val="en-US" w:eastAsia="zh-CN"/>
        </w:rPr>
        <w:t>9</w:t>
      </w:r>
      <w:r>
        <w:rPr>
          <w:rFonts w:hint="default" w:ascii="Times New Roman" w:hAnsi="Times New Roman" w:cs="Times New Roman" w:eastAsiaTheme="minorEastAsia"/>
          <w:b w:val="0"/>
          <w:bCs w:val="0"/>
          <w:sz w:val="24"/>
          <w:szCs w:val="24"/>
          <w:highlight w:val="none"/>
          <w:lang w:val="en-US" w:eastAsia="zh-CN"/>
        </w:rPr>
        <w:t>年</w:t>
      </w:r>
      <w:r>
        <w:rPr>
          <w:rFonts w:hint="default" w:ascii="Times New Roman" w:hAnsi="Times New Roman" w:cs="Times New Roman"/>
          <w:b w:val="0"/>
          <w:bCs w:val="0"/>
          <w:sz w:val="24"/>
          <w:szCs w:val="24"/>
          <w:highlight w:val="none"/>
          <w:lang w:val="en-US" w:eastAsia="zh-CN"/>
        </w:rPr>
        <w:t>3</w:t>
      </w:r>
      <w:r>
        <w:rPr>
          <w:rFonts w:hint="default" w:ascii="Times New Roman" w:hAnsi="Times New Roman" w:cs="Times New Roman" w:eastAsiaTheme="minorEastAsia"/>
          <w:b w:val="0"/>
          <w:bCs w:val="0"/>
          <w:sz w:val="24"/>
          <w:szCs w:val="24"/>
          <w:highlight w:val="none"/>
          <w:lang w:val="en-US" w:eastAsia="zh-CN"/>
        </w:rPr>
        <w:t>月</w:t>
      </w:r>
      <w:r>
        <w:rPr>
          <w:rFonts w:hint="default" w:ascii="Times New Roman" w:hAnsi="Times New Roman" w:cs="Times New Roman"/>
          <w:b w:val="0"/>
          <w:bCs w:val="0"/>
          <w:sz w:val="24"/>
          <w:szCs w:val="24"/>
          <w:highlight w:val="none"/>
          <w:lang w:val="en-US" w:eastAsia="zh-CN"/>
        </w:rPr>
        <w:t>13-16</w:t>
      </w:r>
      <w:r>
        <w:rPr>
          <w:rFonts w:hint="default" w:ascii="Times New Roman" w:hAnsi="Times New Roman" w:cs="Times New Roman" w:eastAsiaTheme="minorEastAsia"/>
          <w:b w:val="0"/>
          <w:bCs w:val="0"/>
          <w:sz w:val="24"/>
          <w:szCs w:val="24"/>
          <w:highlight w:val="none"/>
          <w:lang w:val="en-US" w:eastAsia="zh-CN"/>
        </w:rPr>
        <w:t>日对该场地进行了现场钻探取样工作，采用</w:t>
      </w:r>
      <w:r>
        <w:rPr>
          <w:rFonts w:hint="default" w:ascii="Times New Roman" w:hAnsi="Times New Roman" w:cs="Times New Roman"/>
          <w:b w:val="0"/>
          <w:bCs w:val="0"/>
          <w:sz w:val="24"/>
          <w:szCs w:val="24"/>
          <w:highlight w:val="none"/>
          <w:lang w:val="en-US" w:eastAsia="zh-CN"/>
        </w:rPr>
        <w:t>随机布点方法</w:t>
      </w:r>
      <w:r>
        <w:rPr>
          <w:rFonts w:hint="default" w:ascii="Times New Roman" w:hAnsi="Times New Roman" w:cs="Times New Roman" w:eastAsiaTheme="minorEastAsia"/>
          <w:b w:val="0"/>
          <w:bCs w:val="0"/>
          <w:sz w:val="24"/>
          <w:szCs w:val="24"/>
          <w:highlight w:val="none"/>
          <w:lang w:val="en-US" w:eastAsia="zh-CN"/>
        </w:rPr>
        <w:t>的方式，共布设采样点位</w:t>
      </w:r>
      <w:r>
        <w:rPr>
          <w:rFonts w:hint="default" w:ascii="Times New Roman" w:hAnsi="Times New Roman" w:cs="Times New Roman"/>
          <w:b w:val="0"/>
          <w:bCs w:val="0"/>
          <w:sz w:val="24"/>
          <w:szCs w:val="24"/>
          <w:highlight w:val="none"/>
          <w:lang w:val="en-US" w:eastAsia="zh-CN"/>
        </w:rPr>
        <w:t>5</w:t>
      </w:r>
      <w:r>
        <w:rPr>
          <w:rFonts w:hint="default" w:ascii="Times New Roman" w:hAnsi="Times New Roman" w:cs="Times New Roman" w:eastAsiaTheme="minorEastAsia"/>
          <w:b w:val="0"/>
          <w:bCs w:val="0"/>
          <w:sz w:val="24"/>
          <w:szCs w:val="24"/>
          <w:highlight w:val="none"/>
          <w:lang w:val="en-US" w:eastAsia="zh-CN"/>
        </w:rPr>
        <w:t>个，共采集</w:t>
      </w:r>
      <w:r>
        <w:rPr>
          <w:rFonts w:hint="default" w:ascii="Times New Roman" w:hAnsi="Times New Roman" w:cs="Times New Roman"/>
          <w:b w:val="0"/>
          <w:bCs w:val="0"/>
          <w:sz w:val="24"/>
          <w:szCs w:val="24"/>
          <w:highlight w:val="none"/>
          <w:lang w:val="en-US" w:eastAsia="zh-CN"/>
        </w:rPr>
        <w:t>10</w:t>
      </w:r>
      <w:r>
        <w:rPr>
          <w:rFonts w:hint="default" w:ascii="Times New Roman" w:hAnsi="Times New Roman" w:cs="Times New Roman" w:eastAsiaTheme="minorEastAsia"/>
          <w:b w:val="0"/>
          <w:bCs w:val="0"/>
          <w:sz w:val="24"/>
          <w:szCs w:val="24"/>
          <w:highlight w:val="none"/>
          <w:lang w:val="en-US" w:eastAsia="zh-CN"/>
        </w:rPr>
        <w:t>组（个）土壤样品，另有</w:t>
      </w:r>
      <w:r>
        <w:rPr>
          <w:rFonts w:hint="default" w:ascii="Times New Roman" w:hAnsi="Times New Roman" w:cs="Times New Roman"/>
          <w:b w:val="0"/>
          <w:bCs w:val="0"/>
          <w:sz w:val="24"/>
          <w:szCs w:val="24"/>
          <w:highlight w:val="none"/>
          <w:lang w:val="en-US" w:eastAsia="zh-CN"/>
        </w:rPr>
        <w:t>1</w:t>
      </w:r>
      <w:r>
        <w:rPr>
          <w:rFonts w:hint="default" w:ascii="Times New Roman" w:hAnsi="Times New Roman" w:cs="Times New Roman" w:eastAsiaTheme="minorEastAsia"/>
          <w:b w:val="0"/>
          <w:bCs w:val="0"/>
          <w:sz w:val="24"/>
          <w:szCs w:val="24"/>
          <w:highlight w:val="none"/>
          <w:lang w:val="en-US" w:eastAsia="zh-CN"/>
        </w:rPr>
        <w:t>组土壤平行样品。</w:t>
      </w:r>
      <w:r>
        <w:rPr>
          <w:rFonts w:hint="default" w:ascii="Times New Roman" w:hAnsi="Times New Roman" w:cs="Times New Roman"/>
          <w:b w:val="0"/>
          <w:bCs w:val="0"/>
          <w:sz w:val="24"/>
          <w:szCs w:val="24"/>
          <w:highlight w:val="none"/>
          <w:lang w:val="en-US" w:eastAsia="zh-CN"/>
        </w:rPr>
        <w:t>共布设4口地下水监测井，其中3口为新建水井，共采集4组地下水样品。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eastAsiaTheme="minorEastAsia"/>
          <w:b w:val="0"/>
          <w:bCs w:val="0"/>
          <w:sz w:val="24"/>
          <w:szCs w:val="24"/>
          <w:highlight w:val="none"/>
          <w:lang w:val="en-US" w:eastAsia="zh-CN"/>
        </w:rPr>
      </w:pPr>
      <w:r>
        <w:rPr>
          <w:rFonts w:hint="default" w:ascii="Times New Roman" w:hAnsi="Times New Roman" w:cs="Times New Roman" w:eastAsiaTheme="minorEastAsia"/>
          <w:b w:val="0"/>
          <w:bCs w:val="0"/>
          <w:sz w:val="24"/>
          <w:szCs w:val="24"/>
          <w:highlight w:val="none"/>
          <w:lang w:val="en-US" w:eastAsia="zh-CN"/>
        </w:rPr>
        <w:t>本项目调查采样全部由河北华清环境科技集团股份有限公司的采样技术人员根据制定的采样方案进行。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eastAsiaTheme="minorEastAsia"/>
          <w:bCs/>
          <w:sz w:val="28"/>
          <w:szCs w:val="28"/>
          <w:highlight w:val="none"/>
        </w:rPr>
      </w:pPr>
      <w:r>
        <w:rPr>
          <w:rFonts w:hint="default" w:ascii="Times New Roman" w:hAnsi="Times New Roman" w:cs="Times New Roman" w:eastAsiaTheme="minorEastAsia"/>
          <w:b w:val="0"/>
          <w:bCs w:val="0"/>
          <w:sz w:val="24"/>
          <w:szCs w:val="24"/>
          <w:highlight w:val="none"/>
          <w:lang w:val="en-US" w:eastAsia="zh-CN"/>
        </w:rPr>
        <w:t>本项目采集的所有土壤样品全部委托经计量认证合格的河北华清环境科技集团股份有限公司进行检测分析，</w:t>
      </w:r>
      <w:r>
        <w:rPr>
          <w:rFonts w:hint="default" w:ascii="Times New Roman" w:hAnsi="Times New Roman" w:cs="Times New Roman"/>
          <w:b w:val="0"/>
          <w:bCs w:val="0"/>
          <w:sz w:val="24"/>
          <w:szCs w:val="24"/>
          <w:highlight w:val="none"/>
          <w:lang w:val="en-US" w:eastAsia="zh-CN"/>
        </w:rPr>
        <w:t>并</w:t>
      </w:r>
      <w:r>
        <w:rPr>
          <w:rFonts w:hint="default" w:ascii="Times New Roman" w:hAnsi="Times New Roman" w:cs="Times New Roman" w:eastAsiaTheme="minorEastAsia"/>
          <w:b w:val="0"/>
          <w:bCs w:val="0"/>
          <w:sz w:val="24"/>
          <w:szCs w:val="24"/>
          <w:highlight w:val="none"/>
          <w:lang w:val="en-US" w:eastAsia="zh-CN"/>
        </w:rPr>
        <w:t>提供了全部检测样品的检测报告。</w:t>
      </w:r>
    </w:p>
    <w:p>
      <w:pPr>
        <w:pStyle w:val="6"/>
        <w:bidi w:val="0"/>
        <w:spacing w:before="60" w:after="60"/>
        <w:outlineLvl w:val="2"/>
        <w:rPr>
          <w:rFonts w:hint="default" w:ascii="Times New Roman" w:hAnsi="Times New Roman" w:cs="Times New Roman"/>
          <w:highlight w:val="none"/>
          <w:lang w:val="en-US" w:eastAsia="zh-CN"/>
        </w:rPr>
      </w:pPr>
      <w:bookmarkStart w:id="26" w:name="_Toc1013"/>
      <w:bookmarkStart w:id="27" w:name="_Toc1129"/>
      <w:bookmarkStart w:id="28" w:name="_Toc5506"/>
      <w:r>
        <w:rPr>
          <w:rFonts w:hint="default" w:ascii="Times New Roman" w:hAnsi="Times New Roman" w:cs="Times New Roman"/>
          <w:highlight w:val="none"/>
          <w:lang w:val="en-US" w:eastAsia="zh-CN"/>
        </w:rPr>
        <w:t>4 补充调查土壤检测结果分析</w:t>
      </w:r>
      <w:bookmarkEnd w:id="26"/>
      <w:bookmarkEnd w:id="27"/>
      <w:bookmarkEnd w:id="28"/>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eastAsiaTheme="minorEastAsia"/>
          <w:b w:val="0"/>
          <w:bCs w:val="0"/>
          <w:kern w:val="2"/>
          <w:sz w:val="24"/>
          <w:szCs w:val="24"/>
          <w:highlight w:val="none"/>
          <w:lang w:val="en-US" w:eastAsia="zh-CN" w:bidi="ar-SA"/>
        </w:rPr>
        <w:t>根据土壤检测结果</w:t>
      </w:r>
      <w:r>
        <w:rPr>
          <w:rFonts w:hint="default" w:ascii="Times New Roman" w:hAnsi="Times New Roman" w:cs="Times New Roman"/>
          <w:b w:val="0"/>
          <w:bCs w:val="0"/>
          <w:kern w:val="2"/>
          <w:sz w:val="24"/>
          <w:szCs w:val="24"/>
          <w:highlight w:val="none"/>
          <w:lang w:val="en-US" w:eastAsia="zh-CN" w:bidi="ar-SA"/>
        </w:rPr>
        <w:t>分析，本场地土壤样品中检测项目六六六、滴滴涕均未检出，满足</w:t>
      </w:r>
      <w:r>
        <w:rPr>
          <w:rFonts w:hint="default" w:ascii="Times New Roman" w:hAnsi="Times New Roman" w:cs="Times New Roman" w:eastAsiaTheme="minorEastAsia"/>
          <w:b w:val="0"/>
          <w:bCs w:val="0"/>
          <w:sz w:val="24"/>
          <w:szCs w:val="24"/>
          <w:highlight w:val="none"/>
          <w:lang w:val="en-US" w:eastAsia="zh-CN"/>
        </w:rPr>
        <w:t>《土壤环境质量 建设用地土壤污染风险管控标准（试行）》（</w:t>
      </w:r>
      <w:r>
        <w:rPr>
          <w:rFonts w:hint="default" w:ascii="Times New Roman" w:hAnsi="Times New Roman" w:cs="Times New Roman"/>
          <w:b w:val="0"/>
          <w:bCs w:val="0"/>
          <w:sz w:val="24"/>
          <w:szCs w:val="24"/>
          <w:highlight w:val="none"/>
          <w:lang w:val="en-US" w:eastAsia="zh-CN"/>
        </w:rPr>
        <w:t>GB36600</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 w:val="0"/>
          <w:bCs w:val="0"/>
          <w:sz w:val="24"/>
          <w:szCs w:val="24"/>
          <w:highlight w:val="none"/>
          <w:lang w:val="en-US" w:eastAsia="zh-CN"/>
        </w:rPr>
      </w:pPr>
      <w:r>
        <w:rPr>
          <w:rFonts w:hint="default" w:ascii="Times New Roman" w:hAnsi="Times New Roman" w:cs="Times New Roman" w:eastAsiaTheme="minorEastAsia"/>
          <w:b w:val="0"/>
          <w:bCs w:val="0"/>
          <w:sz w:val="24"/>
          <w:szCs w:val="24"/>
          <w:highlight w:val="none"/>
          <w:lang w:val="en-US" w:eastAsia="zh-CN"/>
        </w:rPr>
        <w:t>-2018）</w:t>
      </w:r>
      <w:r>
        <w:rPr>
          <w:rFonts w:hint="default" w:ascii="Times New Roman" w:hAnsi="Times New Roman" w:cs="Times New Roman"/>
          <w:b w:val="0"/>
          <w:bCs w:val="0"/>
          <w:sz w:val="24"/>
          <w:szCs w:val="24"/>
          <w:highlight w:val="none"/>
          <w:lang w:val="en-US" w:eastAsia="zh-CN"/>
        </w:rPr>
        <w:t>第一类建设用地（居住用地）标准。标明</w:t>
      </w:r>
      <w:r>
        <w:rPr>
          <w:rFonts w:hint="default" w:ascii="Times New Roman" w:hAnsi="Times New Roman" w:cs="Times New Roman" w:eastAsiaTheme="minorEastAsia"/>
          <w:sz w:val="24"/>
          <w:highlight w:val="none"/>
          <w:lang w:val="en-US" w:eastAsia="zh-CN"/>
        </w:rPr>
        <w:t>本场地内土壤未受到场地活动的明显影响</w:t>
      </w:r>
      <w:r>
        <w:rPr>
          <w:rFonts w:hint="default" w:ascii="Times New Roman" w:hAnsi="Times New Roman" w:cs="Times New Roman" w:eastAsiaTheme="minorEastAsia"/>
          <w:b w:val="0"/>
          <w:bCs w:val="0"/>
          <w:sz w:val="24"/>
          <w:szCs w:val="24"/>
          <w:highlight w:val="none"/>
          <w:lang w:val="en-US" w:eastAsia="zh-CN"/>
        </w:rPr>
        <w:t>，因此本场地土壤环境无需启动风险评估。</w:t>
      </w:r>
    </w:p>
    <w:p>
      <w:pPr>
        <w:pStyle w:val="6"/>
        <w:bidi w:val="0"/>
        <w:spacing w:before="60" w:after="60"/>
        <w:outlineLvl w:val="2"/>
        <w:rPr>
          <w:rFonts w:hint="default" w:ascii="Times New Roman" w:hAnsi="Times New Roman" w:cs="Times New Roman"/>
          <w:highlight w:val="none"/>
          <w:lang w:val="en-US" w:eastAsia="zh-CN"/>
        </w:rPr>
      </w:pPr>
      <w:bookmarkStart w:id="29" w:name="_Toc32450"/>
      <w:r>
        <w:rPr>
          <w:rFonts w:hint="default" w:ascii="Times New Roman" w:hAnsi="Times New Roman" w:cs="Times New Roman"/>
          <w:highlight w:val="none"/>
          <w:lang w:val="en-US" w:eastAsia="zh-CN"/>
        </w:rPr>
        <w:t>5 补充调查地下水检测结果分析</w:t>
      </w:r>
      <w:bookmarkEnd w:id="29"/>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left="0" w:leftChars="0" w:firstLine="480" w:firstLineChars="200"/>
        <w:textAlignment w:val="auto"/>
        <w:rPr>
          <w:rFonts w:hint="default" w:ascii="Times New Roman" w:hAnsi="Times New Roman" w:cs="Times New Roman"/>
          <w:sz w:val="24"/>
          <w:highlight w:val="none"/>
          <w:lang w:val="en-US" w:eastAsia="zh-CN"/>
        </w:rPr>
      </w:pPr>
      <w:r>
        <w:rPr>
          <w:rFonts w:hint="default" w:ascii="Times New Roman" w:hAnsi="Times New Roman" w:cs="Times New Roman"/>
          <w:color w:val="auto"/>
          <w:sz w:val="24"/>
          <w:highlight w:val="none"/>
          <w:lang w:val="en-US" w:eastAsia="zh-CN"/>
        </w:rPr>
        <w:t>根据本项目检测的4口地下水井水质检测结果，本次共检测出26项指标。其中1#井中总硬度（以CaCO</w:t>
      </w:r>
      <w:r>
        <w:rPr>
          <w:rFonts w:hint="default" w:ascii="Times New Roman" w:hAnsi="Times New Roman" w:cs="Times New Roman"/>
          <w:color w:val="auto"/>
          <w:sz w:val="24"/>
          <w:highlight w:val="none"/>
          <w:vertAlign w:val="subscript"/>
          <w:lang w:val="en-US" w:eastAsia="zh-CN"/>
        </w:rPr>
        <w:t>3</w:t>
      </w:r>
      <w:r>
        <w:rPr>
          <w:rFonts w:hint="default" w:ascii="Times New Roman" w:hAnsi="Times New Roman" w:cs="Times New Roman"/>
          <w:color w:val="auto"/>
          <w:sz w:val="24"/>
          <w:highlight w:val="none"/>
          <w:lang w:val="en-US" w:eastAsia="zh-CN"/>
        </w:rPr>
        <w:t>计）、锰、铁、总大肠菌群检测结果超出《地下水质量标准》</w:t>
      </w:r>
      <w:r>
        <w:rPr>
          <w:rFonts w:hint="default" w:ascii="Times New Roman" w:hAnsi="Times New Roman" w:cs="Times New Roman"/>
          <w:i w:val="0"/>
          <w:color w:val="000000"/>
          <w:kern w:val="0"/>
          <w:sz w:val="21"/>
          <w:szCs w:val="21"/>
          <w:highlight w:val="none"/>
          <w:u w:val="none"/>
          <w:lang w:val="en-US" w:eastAsia="zh-CN" w:bidi="ar"/>
        </w:rPr>
        <w:t>III</w:t>
      </w:r>
      <w:r>
        <w:rPr>
          <w:rFonts w:hint="default" w:ascii="Times New Roman" w:hAnsi="Times New Roman" w:cs="Times New Roman"/>
          <w:color w:val="auto"/>
          <w:sz w:val="24"/>
          <w:highlight w:val="none"/>
          <w:lang w:val="en-US" w:eastAsia="zh-CN"/>
        </w:rPr>
        <w:t>类标准。2#中锰、铁、总大肠菌群检测结果超出《地下水质量标准》</w:t>
      </w:r>
      <w:r>
        <w:rPr>
          <w:rFonts w:hint="default" w:ascii="Times New Roman" w:hAnsi="Times New Roman" w:cs="Times New Roman"/>
          <w:i w:val="0"/>
          <w:color w:val="000000"/>
          <w:kern w:val="0"/>
          <w:sz w:val="21"/>
          <w:szCs w:val="21"/>
          <w:highlight w:val="none"/>
          <w:u w:val="none"/>
          <w:lang w:val="en-US" w:eastAsia="zh-CN" w:bidi="ar"/>
        </w:rPr>
        <w:t>III</w:t>
      </w:r>
      <w:r>
        <w:rPr>
          <w:rFonts w:hint="default" w:ascii="Times New Roman" w:hAnsi="Times New Roman" w:cs="Times New Roman"/>
          <w:color w:val="auto"/>
          <w:sz w:val="24"/>
          <w:highlight w:val="none"/>
          <w:lang w:val="en-US" w:eastAsia="zh-CN"/>
        </w:rPr>
        <w:t>类标准。3#井中总硬度（以CaCO</w:t>
      </w:r>
      <w:r>
        <w:rPr>
          <w:rFonts w:hint="default" w:ascii="Times New Roman" w:hAnsi="Times New Roman" w:cs="Times New Roman"/>
          <w:color w:val="auto"/>
          <w:sz w:val="24"/>
          <w:highlight w:val="none"/>
          <w:vertAlign w:val="subscript"/>
          <w:lang w:val="en-US" w:eastAsia="zh-CN"/>
        </w:rPr>
        <w:t>3</w:t>
      </w:r>
      <w:r>
        <w:rPr>
          <w:rFonts w:hint="default" w:ascii="Times New Roman" w:hAnsi="Times New Roman" w:cs="Times New Roman"/>
          <w:color w:val="auto"/>
          <w:sz w:val="24"/>
          <w:highlight w:val="none"/>
          <w:lang w:val="en-US" w:eastAsia="zh-CN"/>
        </w:rPr>
        <w:t>计）、锰、铁、氨氮、总大肠菌群检测结果超出《地下水质量标准》</w:t>
      </w:r>
      <w:r>
        <w:rPr>
          <w:rFonts w:hint="default" w:ascii="Times New Roman" w:hAnsi="Times New Roman" w:cs="Times New Roman"/>
          <w:i w:val="0"/>
          <w:color w:val="000000"/>
          <w:kern w:val="0"/>
          <w:sz w:val="21"/>
          <w:szCs w:val="21"/>
          <w:highlight w:val="none"/>
          <w:u w:val="none"/>
          <w:lang w:val="en-US" w:eastAsia="zh-CN" w:bidi="ar"/>
        </w:rPr>
        <w:t>III</w:t>
      </w:r>
      <w:r>
        <w:rPr>
          <w:rFonts w:hint="default" w:ascii="Times New Roman" w:hAnsi="Times New Roman" w:cs="Times New Roman"/>
          <w:color w:val="auto"/>
          <w:sz w:val="24"/>
          <w:highlight w:val="none"/>
          <w:lang w:val="en-US" w:eastAsia="zh-CN"/>
        </w:rPr>
        <w:t>类标准。4#井中铁、锰检测结果超出《地下水质量标准》</w:t>
      </w:r>
      <w:r>
        <w:rPr>
          <w:rFonts w:hint="default" w:ascii="Times New Roman" w:hAnsi="Times New Roman" w:cs="Times New Roman"/>
          <w:i w:val="0"/>
          <w:color w:val="000000"/>
          <w:kern w:val="0"/>
          <w:sz w:val="21"/>
          <w:szCs w:val="21"/>
          <w:highlight w:val="none"/>
          <w:u w:val="none"/>
          <w:lang w:val="en-US" w:eastAsia="zh-CN" w:bidi="ar"/>
        </w:rPr>
        <w:t>III</w:t>
      </w:r>
      <w:r>
        <w:rPr>
          <w:rFonts w:hint="default" w:ascii="Times New Roman" w:hAnsi="Times New Roman" w:cs="Times New Roman"/>
          <w:color w:val="auto"/>
          <w:sz w:val="24"/>
          <w:highlight w:val="none"/>
          <w:lang w:val="en-US" w:eastAsia="zh-CN"/>
        </w:rPr>
        <w:t>类标准</w:t>
      </w:r>
      <w:r>
        <w:rPr>
          <w:rFonts w:hint="default" w:ascii="Times New Roman" w:hAnsi="Times New Roman" w:cs="Times New Roman"/>
          <w:sz w:val="24"/>
          <w:highlight w:val="none"/>
          <w:lang w:val="en-US" w:eastAsia="zh-CN"/>
        </w:rPr>
        <w:t>。4口地下水监测井中总铬均满足《US EPA Egional Screening Level [RSL)]Summary Table》中地下水饮用水标准，其他有检出指标均满足《地下水质量标准》Ⅲ类标准。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eastAsiaTheme="minorEastAsia"/>
          <w:b w:val="0"/>
          <w:bCs w:val="0"/>
          <w:sz w:val="24"/>
          <w:szCs w:val="24"/>
          <w:highlight w:val="none"/>
          <w:lang w:val="en-US" w:eastAsia="zh-CN"/>
        </w:rPr>
      </w:pPr>
      <w:r>
        <w:rPr>
          <w:rFonts w:hint="default" w:ascii="Times New Roman" w:hAnsi="Times New Roman" w:cs="Times New Roman"/>
          <w:sz w:val="24"/>
          <w:highlight w:val="none"/>
          <w:lang w:val="en-US" w:eastAsia="zh-CN"/>
        </w:rPr>
        <w:t>本项目地块所在区域地下水的用途主要农田灌溉，居民生活用水供给方式为集中供水、不直接使用浅层地下水。地下水中</w:t>
      </w:r>
      <w:r>
        <w:rPr>
          <w:rFonts w:hint="default" w:ascii="Times New Roman" w:hAnsi="Times New Roman" w:cs="Times New Roman"/>
          <w:color w:val="auto"/>
          <w:sz w:val="24"/>
          <w:highlight w:val="none"/>
          <w:lang w:val="en-US" w:eastAsia="zh-CN"/>
        </w:rPr>
        <w:t>总硬度（以CaCO</w:t>
      </w:r>
      <w:r>
        <w:rPr>
          <w:rFonts w:hint="default" w:ascii="Times New Roman" w:hAnsi="Times New Roman" w:cs="Times New Roman"/>
          <w:color w:val="auto"/>
          <w:sz w:val="24"/>
          <w:highlight w:val="none"/>
          <w:vertAlign w:val="subscript"/>
          <w:lang w:val="en-US" w:eastAsia="zh-CN"/>
        </w:rPr>
        <w:t>3</w:t>
      </w:r>
      <w:r>
        <w:rPr>
          <w:rFonts w:hint="default" w:ascii="Times New Roman" w:hAnsi="Times New Roman" w:cs="Times New Roman"/>
          <w:color w:val="auto"/>
          <w:sz w:val="24"/>
          <w:highlight w:val="none"/>
          <w:lang w:val="en-US" w:eastAsia="zh-CN"/>
        </w:rPr>
        <w:t>计）、锰、铁、氨氮、总大肠菌群检测结果虽然超出《地下水质量标准》</w:t>
      </w:r>
      <w:r>
        <w:rPr>
          <w:rFonts w:hint="default" w:ascii="Times New Roman" w:hAnsi="Times New Roman" w:cs="Times New Roman"/>
          <w:i w:val="0"/>
          <w:color w:val="000000"/>
          <w:kern w:val="0"/>
          <w:sz w:val="21"/>
          <w:szCs w:val="21"/>
          <w:highlight w:val="none"/>
          <w:u w:val="none"/>
          <w:lang w:val="en-US" w:eastAsia="zh-CN" w:bidi="ar"/>
        </w:rPr>
        <w:t>III</w:t>
      </w:r>
      <w:r>
        <w:rPr>
          <w:rFonts w:hint="default" w:ascii="Times New Roman" w:hAnsi="Times New Roman" w:cs="Times New Roman"/>
          <w:color w:val="auto"/>
          <w:sz w:val="24"/>
          <w:highlight w:val="none"/>
          <w:lang w:val="en-US" w:eastAsia="zh-CN"/>
        </w:rPr>
        <w:t>类标准。但不会与人体直接接触，地下水中污染物缺少暴露途径，不会对未来居住人群造成危害。</w:t>
      </w:r>
    </w:p>
    <w:p>
      <w:pPr>
        <w:pStyle w:val="6"/>
        <w:bidi w:val="0"/>
        <w:spacing w:before="60" w:after="60"/>
        <w:outlineLvl w:val="2"/>
        <w:rPr>
          <w:rFonts w:hint="default" w:ascii="Times New Roman" w:hAnsi="Times New Roman" w:cs="Times New Roman"/>
          <w:highlight w:val="none"/>
          <w:lang w:val="en-US" w:eastAsia="zh-CN"/>
        </w:rPr>
      </w:pPr>
      <w:bookmarkStart w:id="30" w:name="_Toc1805"/>
      <w:r>
        <w:rPr>
          <w:rFonts w:hint="default" w:ascii="Times New Roman" w:hAnsi="Times New Roman" w:cs="Times New Roman"/>
          <w:highlight w:val="none"/>
          <w:lang w:val="en-US" w:eastAsia="zh-CN"/>
        </w:rPr>
        <w:t>6 场地调查结论</w:t>
      </w:r>
      <w:bookmarkEnd w:id="30"/>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根据场地内土壤及地下水检测结果，本场地无需启动风险评估，根据《场地环境调查技术导则（发布稿）》（环保部HJ25.1-2014），场地调查工作到该阶段（技术路线第二阶段）结束。</w:t>
      </w:r>
    </w:p>
    <w:p>
      <w:pPr>
        <w:spacing w:line="520" w:lineRule="exact"/>
        <w:ind w:firstLine="48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4"/>
          <w:highlight w:val="none"/>
          <w:lang w:val="en-US" w:eastAsia="zh-CN"/>
        </w:rPr>
        <w:t>该场地</w:t>
      </w:r>
      <w:r>
        <w:rPr>
          <w:rFonts w:hint="default" w:ascii="Times New Roman" w:hAnsi="Times New Roman" w:cs="Times New Roman"/>
          <w:sz w:val="24"/>
          <w:highlight w:val="none"/>
          <w:lang w:val="en-US" w:eastAsia="zh-CN"/>
        </w:rPr>
        <w:t>拟规划为</w:t>
      </w:r>
      <w:r>
        <w:rPr>
          <w:rFonts w:hint="default" w:ascii="Times New Roman" w:hAnsi="Times New Roman" w:cs="Times New Roman" w:eastAsiaTheme="minorEastAsia"/>
          <w:sz w:val="24"/>
          <w:highlight w:val="none"/>
          <w:lang w:val="en-US" w:eastAsia="zh-CN"/>
        </w:rPr>
        <w:t>居住用地，根据监测结果分析，本场地达到居住用地标准，因此本场地可作为居住用地，可用来建设住宅及相应服务设施</w:t>
      </w:r>
      <w:r>
        <w:rPr>
          <w:rFonts w:hint="default" w:ascii="Times New Roman" w:hAnsi="Times New Roman" w:cs="Times New Roman" w:eastAsiaTheme="minorEastAsia"/>
          <w:sz w:val="28"/>
          <w:szCs w:val="28"/>
          <w:highlight w:val="none"/>
        </w:rPr>
        <w:t>。</w:t>
      </w:r>
    </w:p>
    <w:p>
      <w:pPr>
        <w:pStyle w:val="6"/>
        <w:bidi w:val="0"/>
        <w:rPr>
          <w:rFonts w:hint="default"/>
          <w:lang w:val="en-US" w:eastAsia="zh-CN"/>
        </w:rPr>
      </w:pPr>
      <w:bookmarkStart w:id="31" w:name="_Toc949"/>
      <w:r>
        <w:rPr>
          <w:rFonts w:hint="eastAsia"/>
          <w:lang w:val="en-US" w:eastAsia="zh-CN"/>
        </w:rPr>
        <w:t>7</w:t>
      </w:r>
      <w:r>
        <w:rPr>
          <w:rFonts w:hint="default"/>
          <w:lang w:val="en-US" w:eastAsia="zh-CN"/>
        </w:rPr>
        <w:t xml:space="preserve"> 建议</w:t>
      </w:r>
      <w:bookmarkEnd w:id="31"/>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根据本项目</w:t>
      </w:r>
      <w:bookmarkStart w:id="32" w:name="_GoBack"/>
      <w:bookmarkEnd w:id="32"/>
      <w:r>
        <w:rPr>
          <w:rFonts w:hint="default" w:ascii="Times New Roman" w:hAnsi="Times New Roman" w:cs="Times New Roman"/>
          <w:sz w:val="24"/>
          <w:szCs w:val="24"/>
          <w:lang w:val="en-US" w:eastAsia="zh-CN"/>
        </w:rPr>
        <w:t>场地内浅层地下水水质检测结果，部分指标超过《地下水质量标准》III类标准，因此不能作为直接作为生活饮用水水源，本场地内浅层地下水应禁止开采使用。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同时，在后续开发过程中，场地内如果涉及浅层地下水降水施工，需保证抽出地下水达标排放。</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jc w:val="center"/>
      <w:rPr>
        <w:sz w:val="21"/>
        <w:szCs w:val="21"/>
      </w:rPr>
    </w:pPr>
    <w:r>
      <w:rPr>
        <w:sz w:val="21"/>
      </w:rPr>
      <mc:AlternateContent>
        <mc:Choice Requires="wps">
          <w:drawing>
            <wp:anchor distT="0" distB="0" distL="114300" distR="114300" simplePos="0" relativeHeight="62106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106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JCdkW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DK+okQzhSWdfnw//fx9+vWNRCUgaq2fwXNj4Ru6d6bDqge9hzJO&#10;3lVOxRszEdgB9vECsOgC4TFoOplOc5g4bMMD+bOncOt8eC+MIlEoqMMGE7DssPahdx1cYjVtVo2U&#10;aYtSk7ag12+v8hRwsSC51KgRh+ibjVLott15sq0pjxjMmZ4d3vJVg+Jr5sMDc6ADGgbFwz2OShoU&#10;MWeJktq4r3/TR39sCVZKWtCroBr8p0R+0NheZOIguEHYDoLeq1sDvo7xdSxPIgJckINYOaO+gPfL&#10;WAMmpjkqFTQM4m3oKY5/w8VymZz21jW7ug8A9ywLa72xPJaJQHq73AeAmTCOAPWonHED+9KWzj8l&#10;0vvPd/J6+s+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8CQnZFgIAABcEAAAOAAAAAAAA&#10;AAEAIAAAAB8BAABkcnMvZTJvRG9jLnhtbFBLBQYAAAAABgAGAFkBAACnBQAAAAA=&#10;">
              <v:fill on="f" focussize="0,0"/>
              <v:stroke on="f" weight="0.5pt"/>
              <v:imagedata o:title=""/>
              <o:lock v:ext="edit" aspectratio="f"/>
              <v:textbox inset="0mm,0mm,0mm,0mm" style="mso-fit-shape-to-text:t;">
                <w:txbxContent>
                  <w:p>
                    <w:pPr>
                      <w:pStyle w:val="1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r>
      <w:rPr>
        <w:sz w:val="21"/>
      </w:rPr>
      <mc:AlternateContent>
        <mc:Choice Requires="wps">
          <w:drawing>
            <wp:anchor distT="0" distB="0" distL="114300" distR="114300" simplePos="0" relativeHeight="62106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Bdr>
                              <w:top w:val="none" w:color="auto" w:sz="0" w:space="1"/>
                              <w:left w:val="none" w:color="auto" w:sz="0" w:space="4"/>
                              <w:bottom w:val="none" w:color="auto" w:sz="0" w:space="1"/>
                              <w:right w:val="none" w:color="auto" w:sz="0" w:space="4"/>
                            </w:pBdr>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10621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UQ41rkBAABYAwAADgAAAGRycy9lMm9Eb2MueG1srVNLbtswEN0X6B0I&#10;7mvJAhI4gumgRZAgQNEGSHMAmiItAvxhSFvyBdobdNVN9z2Xz9EhbTlBsiu6oYYzwzfvzYyW16M1&#10;ZCchau8Ync9qSqQTvtNuw+jTt9sPC0pi4q7jxjvJ6F5Ger16/245hFY2vvemk0AQxMV2CIz2KYW2&#10;qqLopeVx5oN0GFQeLE94hU3VAR8Q3ZqqqevLavDQBfBCxojem2OQrgq+UlKkr0pFmYhhFLmlckI5&#10;1/msVkveboCHXosTDf4PLCzXDoueoW544mQL+g2U1QJ89CrNhLeVV0oLWTSgmnn9Ss1jz4MsWrA5&#10;MZzbFP8frPiyewCiO0ab+SUljlsc0uHnj8OvP4ff30l2YouGEFvMfAyYm8ZPfsRRT/6Izqx8VGDz&#10;FzURjGOz9+cGyzERkR8tmsWixpDA2HRB/Or5eYCY7qS3JBuMAk6wNJbvPsd0TJ1ScjXnb7UxZYrG&#10;kYHRq4vmojw4RxDcOKyRRRzJZiuN6/GkbO27PQobcAsYdbimlJh7h03OCzMZMBnrydgG0Ju+bFRm&#10;EsPHbUI2hWSucIQ9FcbxFZmnVcv78fJesp5/i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MlEONa5AQAAWAMAAA4AAAAAAAAAAQAgAAAAHgEAAGRycy9lMm9Eb2MueG1sUEsFBgAAAAAGAAYA&#10;WQEAAEkFAAAAAA==&#10;">
              <v:fill on="f" focussize="0,0"/>
              <v:stroke on="f"/>
              <v:imagedata o:title=""/>
              <o:lock v:ext="edit" aspectratio="f"/>
              <v:textbox inset="0mm,0mm,0mm,0mm" style="mso-fit-shape-to-text:t;">
                <w:txbxContent>
                  <w:p>
                    <w:pPr>
                      <w:pStyle w:val="12"/>
                      <w:pBdr>
                        <w:top w:val="none" w:color="auto" w:sz="0" w:space="1"/>
                        <w:left w:val="none" w:color="auto" w:sz="0" w:space="4"/>
                        <w:bottom w:val="none" w:color="auto" w:sz="0" w:space="1"/>
                        <w:right w:val="none" w:color="auto" w:sz="0" w:space="4"/>
                      </w:pBdr>
                      <w:jc w:val="center"/>
                    </w:pP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jc w:val="center"/>
      <w:rPr>
        <w:rFonts w:hint="default" w:ascii="Times New Roman" w:hAnsi="Times New Roman" w:cs="Times New Roman"/>
        <w:b w:val="0"/>
        <w:bCs w:val="0"/>
        <w:sz w:val="18"/>
        <w:szCs w:val="18"/>
        <w:u w:val="none"/>
        <w:lang w:val="zh-CN" w:eastAsia="zh-CN"/>
      </w:rPr>
    </w:pPr>
    <w:r>
      <w:rPr>
        <w:rFonts w:hint="eastAsia" w:ascii="Times New Roman" w:hAnsi="Times New Roman" w:cs="Times New Roman"/>
        <w:b w:val="0"/>
        <w:bCs w:val="0"/>
        <w:sz w:val="18"/>
        <w:szCs w:val="18"/>
        <w:u w:val="none"/>
        <w:lang w:val="zh-CN" w:eastAsia="zh-CN"/>
      </w:rPr>
      <w:t>御东珺璟项目用地场地环境初步调查报告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68D8"/>
    <w:rsid w:val="003339C8"/>
    <w:rsid w:val="00B21F09"/>
    <w:rsid w:val="01C118C4"/>
    <w:rsid w:val="024A1246"/>
    <w:rsid w:val="03A16716"/>
    <w:rsid w:val="04582897"/>
    <w:rsid w:val="05584953"/>
    <w:rsid w:val="058A5F3F"/>
    <w:rsid w:val="06B41244"/>
    <w:rsid w:val="07057DFA"/>
    <w:rsid w:val="07DC50A0"/>
    <w:rsid w:val="08FE37B3"/>
    <w:rsid w:val="093573FF"/>
    <w:rsid w:val="095A14D8"/>
    <w:rsid w:val="098D7D5D"/>
    <w:rsid w:val="09943402"/>
    <w:rsid w:val="0A561CBC"/>
    <w:rsid w:val="0AB42B81"/>
    <w:rsid w:val="0B075690"/>
    <w:rsid w:val="0C7173E7"/>
    <w:rsid w:val="0D532C34"/>
    <w:rsid w:val="0DAA77D6"/>
    <w:rsid w:val="0E641DDD"/>
    <w:rsid w:val="0EB6390D"/>
    <w:rsid w:val="0EF21A9E"/>
    <w:rsid w:val="0F9448FC"/>
    <w:rsid w:val="1389201F"/>
    <w:rsid w:val="14BF26F7"/>
    <w:rsid w:val="15391CC5"/>
    <w:rsid w:val="163F3446"/>
    <w:rsid w:val="176D23F8"/>
    <w:rsid w:val="17A71261"/>
    <w:rsid w:val="187E6DB1"/>
    <w:rsid w:val="18D7532B"/>
    <w:rsid w:val="18FA5857"/>
    <w:rsid w:val="193141ED"/>
    <w:rsid w:val="193F71E4"/>
    <w:rsid w:val="1A1F7C41"/>
    <w:rsid w:val="1AB01A42"/>
    <w:rsid w:val="1AC125F7"/>
    <w:rsid w:val="1D4E336F"/>
    <w:rsid w:val="1E505CEF"/>
    <w:rsid w:val="1E8A7365"/>
    <w:rsid w:val="1F9B01D8"/>
    <w:rsid w:val="20F1695D"/>
    <w:rsid w:val="21D709F6"/>
    <w:rsid w:val="227E7339"/>
    <w:rsid w:val="22A51D18"/>
    <w:rsid w:val="23DD2D41"/>
    <w:rsid w:val="24295E7A"/>
    <w:rsid w:val="245C0B7C"/>
    <w:rsid w:val="24955944"/>
    <w:rsid w:val="24A45CFF"/>
    <w:rsid w:val="26801E81"/>
    <w:rsid w:val="269A2C8C"/>
    <w:rsid w:val="27035124"/>
    <w:rsid w:val="28F17D71"/>
    <w:rsid w:val="298A75F5"/>
    <w:rsid w:val="29CF244C"/>
    <w:rsid w:val="29D54D5E"/>
    <w:rsid w:val="2B6A22B9"/>
    <w:rsid w:val="2B7167F9"/>
    <w:rsid w:val="2B7B32A1"/>
    <w:rsid w:val="2B80517C"/>
    <w:rsid w:val="2E7E24C4"/>
    <w:rsid w:val="2E9163AD"/>
    <w:rsid w:val="2F0C0C49"/>
    <w:rsid w:val="2F153912"/>
    <w:rsid w:val="2F615AB8"/>
    <w:rsid w:val="305B0879"/>
    <w:rsid w:val="308E1914"/>
    <w:rsid w:val="30D722B6"/>
    <w:rsid w:val="31610029"/>
    <w:rsid w:val="321A4856"/>
    <w:rsid w:val="329C7EE8"/>
    <w:rsid w:val="32C1669B"/>
    <w:rsid w:val="331D0AA5"/>
    <w:rsid w:val="344F3172"/>
    <w:rsid w:val="34B47073"/>
    <w:rsid w:val="3506394A"/>
    <w:rsid w:val="35270FE1"/>
    <w:rsid w:val="35B33B3A"/>
    <w:rsid w:val="36420C34"/>
    <w:rsid w:val="3801632E"/>
    <w:rsid w:val="384A0198"/>
    <w:rsid w:val="38E34A47"/>
    <w:rsid w:val="3A470E44"/>
    <w:rsid w:val="3ACF308A"/>
    <w:rsid w:val="3C662F97"/>
    <w:rsid w:val="3CF04C71"/>
    <w:rsid w:val="3D010D33"/>
    <w:rsid w:val="3DA12F0B"/>
    <w:rsid w:val="3DE115EC"/>
    <w:rsid w:val="3E297217"/>
    <w:rsid w:val="3EDE4D65"/>
    <w:rsid w:val="3F0072A2"/>
    <w:rsid w:val="40475550"/>
    <w:rsid w:val="4138799D"/>
    <w:rsid w:val="415552B6"/>
    <w:rsid w:val="426C0F26"/>
    <w:rsid w:val="42811848"/>
    <w:rsid w:val="431606BE"/>
    <w:rsid w:val="442366D1"/>
    <w:rsid w:val="445A398E"/>
    <w:rsid w:val="46D02E73"/>
    <w:rsid w:val="48676BB5"/>
    <w:rsid w:val="4885380A"/>
    <w:rsid w:val="49D912D9"/>
    <w:rsid w:val="4A153BD2"/>
    <w:rsid w:val="4B947903"/>
    <w:rsid w:val="4C833809"/>
    <w:rsid w:val="4D601578"/>
    <w:rsid w:val="4D94077C"/>
    <w:rsid w:val="4E0321CA"/>
    <w:rsid w:val="4ED211B4"/>
    <w:rsid w:val="50163BF2"/>
    <w:rsid w:val="502F5DB0"/>
    <w:rsid w:val="507F2340"/>
    <w:rsid w:val="50845E6C"/>
    <w:rsid w:val="508D5C57"/>
    <w:rsid w:val="52441F7D"/>
    <w:rsid w:val="53AE0385"/>
    <w:rsid w:val="54780C65"/>
    <w:rsid w:val="54E335EE"/>
    <w:rsid w:val="552212FD"/>
    <w:rsid w:val="55D75677"/>
    <w:rsid w:val="55E4570D"/>
    <w:rsid w:val="56370649"/>
    <w:rsid w:val="563C3210"/>
    <w:rsid w:val="56CF4EFD"/>
    <w:rsid w:val="572C0AE9"/>
    <w:rsid w:val="58466018"/>
    <w:rsid w:val="58806484"/>
    <w:rsid w:val="5A091DDA"/>
    <w:rsid w:val="5A4B304B"/>
    <w:rsid w:val="5B2B299B"/>
    <w:rsid w:val="5B61208D"/>
    <w:rsid w:val="5C171CD8"/>
    <w:rsid w:val="5C227BEA"/>
    <w:rsid w:val="5CCC1C7A"/>
    <w:rsid w:val="5D0D0C06"/>
    <w:rsid w:val="5DCC0EF8"/>
    <w:rsid w:val="5DDD1BBF"/>
    <w:rsid w:val="5E292E2D"/>
    <w:rsid w:val="5ED20CCF"/>
    <w:rsid w:val="5F452F62"/>
    <w:rsid w:val="5F4C6D03"/>
    <w:rsid w:val="5F641D06"/>
    <w:rsid w:val="5F7E341C"/>
    <w:rsid w:val="5FCC211F"/>
    <w:rsid w:val="604B3B43"/>
    <w:rsid w:val="604E1007"/>
    <w:rsid w:val="61645177"/>
    <w:rsid w:val="62347738"/>
    <w:rsid w:val="624665CC"/>
    <w:rsid w:val="62623A7B"/>
    <w:rsid w:val="62CC418E"/>
    <w:rsid w:val="632D07E0"/>
    <w:rsid w:val="64724E74"/>
    <w:rsid w:val="64B7030E"/>
    <w:rsid w:val="64EF4EE1"/>
    <w:rsid w:val="65B260C2"/>
    <w:rsid w:val="667B1E43"/>
    <w:rsid w:val="679954DB"/>
    <w:rsid w:val="67997D9C"/>
    <w:rsid w:val="67B02F3A"/>
    <w:rsid w:val="67C855E1"/>
    <w:rsid w:val="6967163B"/>
    <w:rsid w:val="698A5A57"/>
    <w:rsid w:val="6AB85ED8"/>
    <w:rsid w:val="6AE77BA0"/>
    <w:rsid w:val="6B0D140C"/>
    <w:rsid w:val="6C3E28A1"/>
    <w:rsid w:val="6C57585B"/>
    <w:rsid w:val="6D807AC7"/>
    <w:rsid w:val="6DA67B3A"/>
    <w:rsid w:val="6E5C28A2"/>
    <w:rsid w:val="6FEF7847"/>
    <w:rsid w:val="707F1397"/>
    <w:rsid w:val="746278BB"/>
    <w:rsid w:val="75390F1F"/>
    <w:rsid w:val="75522A5E"/>
    <w:rsid w:val="75AF5C61"/>
    <w:rsid w:val="77382515"/>
    <w:rsid w:val="77FD2299"/>
    <w:rsid w:val="784263D4"/>
    <w:rsid w:val="784A0344"/>
    <w:rsid w:val="787C53FE"/>
    <w:rsid w:val="78953167"/>
    <w:rsid w:val="78DB4404"/>
    <w:rsid w:val="78EB32DC"/>
    <w:rsid w:val="790B281B"/>
    <w:rsid w:val="79BB1D95"/>
    <w:rsid w:val="7B04364D"/>
    <w:rsid w:val="7B321566"/>
    <w:rsid w:val="7C997C94"/>
    <w:rsid w:val="7CDA3636"/>
    <w:rsid w:val="7D0A3D2F"/>
    <w:rsid w:val="7D58528D"/>
    <w:rsid w:val="7D7A6C6D"/>
    <w:rsid w:val="7D9202CE"/>
    <w:rsid w:val="7DAF1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180" w:beforeLines="0" w:beforeAutospacing="0" w:after="180" w:afterLines="0" w:afterAutospacing="0" w:line="520" w:lineRule="exact"/>
      <w:ind w:firstLine="0" w:firstLineChars="0"/>
      <w:outlineLvl w:val="0"/>
    </w:pPr>
    <w:rPr>
      <w:rFonts w:ascii="Calibri" w:hAnsi="Calibri" w:eastAsia="宋体"/>
      <w:b/>
      <w:kern w:val="44"/>
      <w:sz w:val="32"/>
    </w:rPr>
  </w:style>
  <w:style w:type="paragraph" w:styleId="5">
    <w:name w:val="heading 2"/>
    <w:basedOn w:val="1"/>
    <w:next w:val="1"/>
    <w:unhideWhenUsed/>
    <w:qFormat/>
    <w:uiPriority w:val="0"/>
    <w:pPr>
      <w:keepNext/>
      <w:keepLines/>
      <w:spacing w:before="120" w:after="120" w:line="520" w:lineRule="exact"/>
      <w:ind w:firstLine="0" w:firstLineChars="0"/>
      <w:jc w:val="left"/>
      <w:outlineLvl w:val="1"/>
    </w:pPr>
    <w:rPr>
      <w:rFonts w:ascii="Times New Roman" w:hAnsi="Times New Roman" w:eastAsia="宋体"/>
      <w:b/>
      <w:bCs/>
      <w:sz w:val="30"/>
      <w:szCs w:val="32"/>
    </w:rPr>
  </w:style>
  <w:style w:type="paragraph" w:styleId="6">
    <w:name w:val="heading 3"/>
    <w:basedOn w:val="1"/>
    <w:next w:val="1"/>
    <w:qFormat/>
    <w:uiPriority w:val="9"/>
    <w:pPr>
      <w:keepNext/>
      <w:keepLines/>
      <w:spacing w:before="60" w:after="60" w:line="520" w:lineRule="exact"/>
      <w:ind w:firstLine="0" w:firstLineChars="0"/>
      <w:outlineLvl w:val="2"/>
    </w:pPr>
    <w:rPr>
      <w:rFonts w:asciiTheme="minorAscii" w:hAnsiTheme="minorAscii"/>
      <w:b/>
      <w:bCs/>
      <w:sz w:val="28"/>
      <w:szCs w:val="32"/>
    </w:rPr>
  </w:style>
  <w:style w:type="paragraph" w:styleId="7">
    <w:name w:val="heading 4"/>
    <w:basedOn w:val="1"/>
    <w:next w:val="1"/>
    <w:unhideWhenUsed/>
    <w:qFormat/>
    <w:uiPriority w:val="0"/>
    <w:pPr>
      <w:keepNext/>
      <w:keepLines/>
      <w:spacing w:beforeLines="0" w:beforeAutospacing="0" w:afterLines="0" w:afterAutospacing="0" w:line="520" w:lineRule="exact"/>
      <w:jc w:val="left"/>
      <w:outlineLvl w:val="3"/>
    </w:pPr>
    <w:rPr>
      <w:rFonts w:ascii="Arial" w:hAnsi="Arial" w:eastAsia="黑体"/>
      <w:b/>
      <w:sz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line="360" w:lineRule="auto"/>
      <w:ind w:left="0" w:leftChars="0" w:right="0" w:firstLine="960" w:firstLineChars="200"/>
    </w:pPr>
    <w:rPr>
      <w:rFonts w:ascii="Times New Roman" w:hAnsi="Times New Roman" w:eastAsia="宋体" w:cs="宋体"/>
      <w:color w:val="000000"/>
      <w:kern w:val="0"/>
      <w:sz w:val="24"/>
      <w:szCs w:val="28"/>
    </w:rPr>
  </w:style>
  <w:style w:type="paragraph" w:styleId="3">
    <w:name w:val="Body Text Indent"/>
    <w:basedOn w:val="1"/>
    <w:qFormat/>
    <w:uiPriority w:val="0"/>
    <w:pPr>
      <w:spacing w:after="120" w:afterLines="0"/>
      <w:ind w:left="420" w:leftChars="200"/>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toc 3"/>
    <w:basedOn w:val="1"/>
    <w:next w:val="1"/>
    <w:qFormat/>
    <w:uiPriority w:val="0"/>
    <w:pPr>
      <w:ind w:left="840" w:leftChars="400"/>
    </w:pPr>
  </w:style>
  <w:style w:type="paragraph" w:styleId="11">
    <w:name w:val="Plain Text"/>
    <w:basedOn w:val="1"/>
    <w:qFormat/>
    <w:uiPriority w:val="0"/>
    <w:pPr>
      <w:spacing w:line="480" w:lineRule="exact"/>
    </w:pPr>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Arial" w:hAnsi="Arial"/>
      <w:b/>
      <w:bCs/>
      <w:kern w:val="0"/>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0"/>
    <w:rPr>
      <w:color w:val="0000FF"/>
      <w:u w:val="single"/>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图表标题"/>
    <w:basedOn w:val="1"/>
    <w:qFormat/>
    <w:uiPriority w:val="0"/>
    <w:pPr>
      <w:keepNext/>
      <w:keepLines/>
      <w:tabs>
        <w:tab w:val="left" w:pos="1440"/>
      </w:tabs>
      <w:spacing w:after="64" w:line="320" w:lineRule="auto"/>
      <w:ind w:left="1440" w:hanging="1440"/>
      <w:jc w:val="center"/>
      <w:outlineLvl w:val="7"/>
    </w:pPr>
    <w:rPr>
      <w:rFonts w:ascii="Calibri" w:hAnsi="Calibri"/>
      <w:b/>
      <w:bCs/>
      <w:color w:val="000000"/>
      <w:kern w:val="0"/>
      <w:szCs w:val="21"/>
    </w:rPr>
  </w:style>
  <w:style w:type="character" w:customStyle="1" w:styleId="26">
    <w:name w:val="font31"/>
    <w:basedOn w:val="20"/>
    <w:qFormat/>
    <w:uiPriority w:val="0"/>
    <w:rPr>
      <w:rFonts w:hint="eastAsia" w:ascii="仿宋" w:hAnsi="仿宋" w:eastAsia="仿宋" w:cs="仿宋"/>
      <w:color w:val="000000"/>
      <w:sz w:val="21"/>
      <w:szCs w:val="21"/>
      <w:u w:val="none"/>
    </w:rPr>
  </w:style>
  <w:style w:type="character" w:customStyle="1" w:styleId="27">
    <w:name w:val="font41"/>
    <w:basedOn w:val="20"/>
    <w:qFormat/>
    <w:uiPriority w:val="0"/>
    <w:rPr>
      <w:rFonts w:hint="default" w:ascii="Times New Roman" w:hAnsi="Times New Roman" w:cs="Times New Roman"/>
      <w:color w:val="000000"/>
      <w:sz w:val="21"/>
      <w:szCs w:val="21"/>
      <w:u w:val="none"/>
    </w:rPr>
  </w:style>
  <w:style w:type="character" w:customStyle="1" w:styleId="28">
    <w:name w:val="font21"/>
    <w:basedOn w:val="20"/>
    <w:qFormat/>
    <w:uiPriority w:val="0"/>
    <w:rPr>
      <w:rFonts w:hint="eastAsia" w:ascii="仿宋" w:hAnsi="仿宋" w:eastAsia="仿宋" w:cs="仿宋"/>
      <w:color w:val="000000"/>
      <w:sz w:val="21"/>
      <w:szCs w:val="21"/>
      <w:u w:val="none"/>
    </w:rPr>
  </w:style>
  <w:style w:type="character" w:customStyle="1" w:styleId="29">
    <w:name w:val="font11"/>
    <w:basedOn w:val="20"/>
    <w:qFormat/>
    <w:uiPriority w:val="0"/>
    <w:rPr>
      <w:rFonts w:hint="default" w:ascii="Times New Roman" w:hAnsi="Times New Roman" w:cs="Times New Roman"/>
      <w:color w:val="000000"/>
      <w:sz w:val="21"/>
      <w:szCs w:val="21"/>
      <w:u w:val="none"/>
    </w:rPr>
  </w:style>
  <w:style w:type="paragraph" w:customStyle="1" w:styleId="30">
    <w:name w:val="无间隔1"/>
    <w:qFormat/>
    <w:uiPriority w:val="1"/>
    <w:pPr>
      <w:widowControl w:val="0"/>
      <w:adjustRightInd w:val="0"/>
      <w:spacing w:before="50" w:beforeLines="50"/>
      <w:jc w:val="center"/>
    </w:pPr>
    <w:rPr>
      <w:rFonts w:ascii="Times New Roman" w:hAnsi="Times New Roman" w:eastAsia="宋体" w:cs="Times New Roman"/>
      <w:b/>
      <w:kern w:val="2"/>
      <w:sz w:val="24"/>
      <w:szCs w:val="22"/>
      <w:lang w:val="en-US" w:eastAsia="zh-CN" w:bidi="ar-SA"/>
    </w:rPr>
  </w:style>
  <w:style w:type="character" w:customStyle="1" w:styleId="31">
    <w:name w:val="font51"/>
    <w:basedOn w:val="20"/>
    <w:qFormat/>
    <w:uiPriority w:val="0"/>
    <w:rPr>
      <w:rFonts w:hint="default" w:ascii="Times New Roman" w:hAnsi="Times New Roman" w:cs="Times New Roman"/>
      <w:color w:val="000000"/>
      <w:sz w:val="21"/>
      <w:szCs w:val="21"/>
      <w:u w:val="none"/>
      <w:vertAlign w:val="superscript"/>
    </w:rPr>
  </w:style>
  <w:style w:type="paragraph" w:customStyle="1" w:styleId="32">
    <w:name w:val="场评正文"/>
    <w:basedOn w:val="1"/>
    <w:qFormat/>
    <w:uiPriority w:val="0"/>
    <w:pPr>
      <w:spacing w:line="360" w:lineRule="auto"/>
      <w:ind w:firstLine="480" w:firstLineChars="200"/>
    </w:pPr>
    <w:rPr>
      <w:color w:val="000000"/>
      <w:kern w:val="0"/>
      <w:sz w:val="24"/>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 w:type="character" w:customStyle="1" w:styleId="36">
    <w:name w:val="font61"/>
    <w:basedOn w:val="20"/>
    <w:qFormat/>
    <w:uiPriority w:val="0"/>
    <w:rPr>
      <w:rFonts w:hint="default" w:ascii="Times New Roman" w:hAnsi="Times New Roman" w:cs="Times New Roman"/>
      <w:color w:val="000000"/>
      <w:sz w:val="21"/>
      <w:szCs w:val="21"/>
      <w:u w:val="none"/>
    </w:rPr>
  </w:style>
  <w:style w:type="character" w:customStyle="1" w:styleId="37">
    <w:name w:val="font71"/>
    <w:basedOn w:val="20"/>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22998</Words>
  <Characters>30023</Characters>
  <Lines>0</Lines>
  <Paragraphs>0</Paragraphs>
  <TotalTime>5</TotalTime>
  <ScaleCrop>false</ScaleCrop>
  <LinksUpToDate>false</LinksUpToDate>
  <CharactersWithSpaces>35562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2019-04-08T02:55:00Z</dcterms:created>
  <dc:creator>脩</dc:creator>
  <cp:lastModifiedBy>Administrator</cp:lastModifiedBy>
  <dcterms:modified xsi:type="dcterms:W3CDTF">2020-01-02T02:04:18Z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